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</w:t>
      </w:r>
      <w:r w:rsidR="002E41A8" w:rsidRPr="002E41A8">
        <w:rPr>
          <w:rFonts w:eastAsia="仿宋_GB2312"/>
          <w:sz w:val="32"/>
        </w:rPr>
        <w:t>2020-4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2E41A8" w:rsidRPr="002E41A8">
        <w:rPr>
          <w:rFonts w:ascii="仿宋_GB2312" w:eastAsia="仿宋_GB2312" w:hint="eastAsia"/>
          <w:color w:val="333333"/>
          <w:sz w:val="36"/>
          <w:szCs w:val="36"/>
          <w:u w:val="single"/>
        </w:rPr>
        <w:t>胰岛素泵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2E41A8">
        <w:rPr>
          <w:rFonts w:ascii="仿宋_GB2312" w:eastAsia="仿宋_GB2312" w:hint="eastAsia"/>
          <w:kern w:val="0"/>
          <w:sz w:val="36"/>
          <w:szCs w:val="36"/>
          <w:u w:val="single"/>
        </w:rPr>
        <w:t>捌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7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7F653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B2037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2E41A8" w:rsidRPr="002E41A8">
        <w:rPr>
          <w:rFonts w:ascii="仿宋_GB2312" w:eastAsia="仿宋_GB2312" w:hint="eastAsia"/>
          <w:sz w:val="32"/>
          <w:szCs w:val="32"/>
        </w:rPr>
        <w:t>胰岛素泵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2E41A8">
        <w:rPr>
          <w:rFonts w:ascii="仿宋_GB2312" w:eastAsia="仿宋_GB2312" w:hint="eastAsia"/>
          <w:sz w:val="32"/>
          <w:szCs w:val="32"/>
        </w:rPr>
        <w:t>8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2E41A8">
        <w:rPr>
          <w:rFonts w:ascii="仿宋_GB2312" w:eastAsia="仿宋_GB2312" w:hint="eastAsia"/>
          <w:sz w:val="32"/>
          <w:szCs w:val="32"/>
        </w:rPr>
        <w:t>1</w:t>
      </w:r>
      <w:r w:rsidR="00B2037E">
        <w:rPr>
          <w:rFonts w:ascii="仿宋_GB2312" w:eastAsia="仿宋_GB2312" w:hint="eastAsia"/>
          <w:sz w:val="32"/>
          <w:szCs w:val="32"/>
        </w:rPr>
        <w:t>3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2E41A8">
        <w:rPr>
          <w:rFonts w:ascii="仿宋_GB2312" w:eastAsia="仿宋_GB2312" w:hint="eastAsia"/>
          <w:sz w:val="32"/>
          <w:szCs w:val="32"/>
        </w:rPr>
        <w:t>5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2E41A8">
        <w:rPr>
          <w:rFonts w:ascii="仿宋_GB2312" w:eastAsia="仿宋_GB2312" w:hint="eastAsia"/>
          <w:sz w:val="32"/>
          <w:szCs w:val="32"/>
        </w:rPr>
        <w:t>8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2E41A8">
        <w:rPr>
          <w:rFonts w:ascii="仿宋_GB2312" w:eastAsia="仿宋_GB2312" w:hint="eastAsia"/>
          <w:sz w:val="32"/>
          <w:szCs w:val="32"/>
        </w:rPr>
        <w:t>1</w:t>
      </w:r>
      <w:r w:rsidR="00B2037E">
        <w:rPr>
          <w:rFonts w:ascii="仿宋_GB2312" w:eastAsia="仿宋_GB2312" w:hint="eastAsia"/>
          <w:sz w:val="32"/>
          <w:szCs w:val="32"/>
        </w:rPr>
        <w:t>3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2E41A8">
        <w:rPr>
          <w:rFonts w:ascii="仿宋_GB2312" w:eastAsia="仿宋_GB2312" w:hint="eastAsia"/>
          <w:sz w:val="32"/>
          <w:szCs w:val="32"/>
        </w:rPr>
        <w:t>3</w:t>
      </w:r>
      <w:r w:rsidR="00912A25">
        <w:rPr>
          <w:rFonts w:ascii="仿宋_GB2312" w:eastAsia="仿宋_GB2312"/>
          <w:sz w:val="32"/>
          <w:szCs w:val="32"/>
        </w:rPr>
        <w:t>:</w:t>
      </w:r>
      <w:r w:rsidR="002E41A8">
        <w:rPr>
          <w:rFonts w:ascii="仿宋_GB2312" w:eastAsia="仿宋_GB2312" w:hint="eastAsia"/>
          <w:sz w:val="32"/>
          <w:szCs w:val="32"/>
        </w:rPr>
        <w:t>0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FE4DEE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2E41A8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2E41A8">
        <w:rPr>
          <w:rFonts w:ascii="仿宋_GB2312" w:eastAsia="仿宋_GB2312" w:hint="eastAsia"/>
          <w:sz w:val="32"/>
        </w:rPr>
        <w:t>04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2E41A8">
        <w:rPr>
          <w:rFonts w:ascii="仿宋_GB2312" w:eastAsia="仿宋_GB2312" w:hint="eastAsia"/>
          <w:sz w:val="32"/>
        </w:rPr>
        <w:t>04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</w:t>
      </w:r>
      <w:r w:rsidR="00B2037E" w:rsidRPr="00D619DA">
        <w:rPr>
          <w:rFonts w:ascii="仿宋_GB2312" w:eastAsia="仿宋_GB2312" w:hAnsi="黑体"/>
          <w:sz w:val="32"/>
          <w:szCs w:val="32"/>
        </w:rPr>
        <w:t>、</w:t>
      </w:r>
      <w:r w:rsidR="00B2037E">
        <w:rPr>
          <w:rFonts w:ascii="仿宋_GB2312" w:eastAsia="仿宋_GB2312" w:hAnsi="黑体" w:hint="eastAsia"/>
          <w:sz w:val="32"/>
          <w:szCs w:val="32"/>
        </w:rPr>
        <w:t>耗材</w:t>
      </w:r>
      <w:r>
        <w:rPr>
          <w:rFonts w:ascii="仿宋_GB2312" w:eastAsia="仿宋_GB2312" w:hint="eastAsia"/>
          <w:sz w:val="32"/>
          <w:szCs w:val="32"/>
        </w:rPr>
        <w:t>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</w:t>
      </w:r>
      <w:r w:rsidRPr="002E41A8">
        <w:rPr>
          <w:rFonts w:ascii="仿宋_GB2312" w:eastAsia="仿宋_GB2312" w:hAnsi="黑体" w:hint="eastAsia"/>
          <w:b/>
          <w:sz w:val="32"/>
          <w:szCs w:val="32"/>
        </w:rPr>
        <w:t>同品牌同型号</w:t>
      </w:r>
      <w:r w:rsidRPr="003F21B2">
        <w:rPr>
          <w:rFonts w:ascii="仿宋_GB2312" w:eastAsia="仿宋_GB2312" w:hAnsi="黑体" w:hint="eastAsia"/>
          <w:sz w:val="32"/>
          <w:szCs w:val="32"/>
        </w:rPr>
        <w:t>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</w:t>
      </w:r>
      <w:r w:rsidR="00500105">
        <w:rPr>
          <w:rFonts w:ascii="仿宋_GB2312" w:eastAsia="仿宋_GB2312" w:hAnsi="黑体" w:hint="eastAsia"/>
          <w:sz w:val="32"/>
          <w:szCs w:val="32"/>
        </w:rPr>
        <w:t>壹</w:t>
      </w:r>
      <w:r w:rsidR="0033111E">
        <w:rPr>
          <w:rFonts w:ascii="仿宋_GB2312" w:eastAsia="仿宋_GB2312" w:hAnsi="黑体" w:hint="eastAsia"/>
          <w:sz w:val="32"/>
          <w:szCs w:val="32"/>
        </w:rPr>
        <w:t>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622A3" w:rsidRDefault="00F14B2A" w:rsidP="00F622A3">
      <w:pPr>
        <w:spacing w:line="560" w:lineRule="exact"/>
        <w:jc w:val="center"/>
        <w:rPr>
          <w:rFonts w:ascii="方正小标宋简体" w:eastAsia="方正小标宋简体" w:hAnsi="黑体" w:hint="eastAsia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F622A3" w:rsidRPr="00F622A3" w:rsidRDefault="00F622A3" w:rsidP="00F622A3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tbl>
      <w:tblPr>
        <w:tblStyle w:val="a5"/>
        <w:tblW w:w="5000" w:type="pct"/>
        <w:jc w:val="center"/>
        <w:tblLook w:val="04A0"/>
      </w:tblPr>
      <w:tblGrid>
        <w:gridCol w:w="1600"/>
        <w:gridCol w:w="2449"/>
        <w:gridCol w:w="2449"/>
        <w:gridCol w:w="2448"/>
      </w:tblGrid>
      <w:tr w:rsidR="00F622A3" w:rsidRPr="00816CCF" w:rsidTr="004D6D0C">
        <w:trPr>
          <w:jc w:val="center"/>
        </w:trPr>
        <w:tc>
          <w:tcPr>
            <w:tcW w:w="894" w:type="pct"/>
            <w:vAlign w:val="center"/>
          </w:tcPr>
          <w:p w:rsidR="00F622A3" w:rsidRPr="00A03812" w:rsidRDefault="00F622A3" w:rsidP="004D6D0C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设备名称</w:t>
            </w:r>
          </w:p>
        </w:tc>
        <w:tc>
          <w:tcPr>
            <w:tcW w:w="4106" w:type="pct"/>
            <w:gridSpan w:val="3"/>
          </w:tcPr>
          <w:p w:rsidR="00F622A3" w:rsidRPr="00A03812" w:rsidRDefault="00F622A3" w:rsidP="004D6D0C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bookmarkStart w:id="1" w:name="_GoBack"/>
            <w:bookmarkEnd w:id="1"/>
            <w:r w:rsidRPr="005D12D6">
              <w:rPr>
                <w:rFonts w:ascii="Arial" w:hAnsi="Arial" w:cs="Arial" w:hint="eastAsia"/>
                <w:color w:val="333333"/>
                <w:sz w:val="28"/>
                <w:szCs w:val="28"/>
              </w:rPr>
              <w:t>胰岛素泵</w:t>
            </w:r>
          </w:p>
        </w:tc>
      </w:tr>
      <w:tr w:rsidR="00F622A3" w:rsidRPr="00816CCF" w:rsidTr="004D6D0C">
        <w:trPr>
          <w:jc w:val="center"/>
        </w:trPr>
        <w:tc>
          <w:tcPr>
            <w:tcW w:w="894" w:type="pct"/>
            <w:vAlign w:val="center"/>
          </w:tcPr>
          <w:p w:rsidR="00F622A3" w:rsidRPr="00D6536D" w:rsidRDefault="00F622A3" w:rsidP="004D6D0C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采购数量</w:t>
            </w:r>
          </w:p>
        </w:tc>
        <w:tc>
          <w:tcPr>
            <w:tcW w:w="1369" w:type="pct"/>
          </w:tcPr>
          <w:p w:rsidR="00F622A3" w:rsidRPr="00D6536D" w:rsidRDefault="00F622A3" w:rsidP="004D6D0C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2</w:t>
            </w: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台</w:t>
            </w:r>
          </w:p>
        </w:tc>
        <w:tc>
          <w:tcPr>
            <w:tcW w:w="1369" w:type="pct"/>
          </w:tcPr>
          <w:p w:rsidR="00F622A3" w:rsidRPr="00B960AF" w:rsidRDefault="00F622A3" w:rsidP="004D6D0C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B960AF">
              <w:rPr>
                <w:rFonts w:ascii="Arial" w:hAnsi="Arial" w:cs="Arial"/>
                <w:color w:val="333333"/>
                <w:sz w:val="28"/>
                <w:szCs w:val="28"/>
              </w:rPr>
              <w:t>预算控制价</w:t>
            </w:r>
          </w:p>
        </w:tc>
        <w:tc>
          <w:tcPr>
            <w:tcW w:w="1369" w:type="pct"/>
          </w:tcPr>
          <w:p w:rsidR="00F622A3" w:rsidRPr="00B960AF" w:rsidRDefault="00F622A3" w:rsidP="004D6D0C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B960AF">
              <w:rPr>
                <w:rFonts w:ascii="Arial" w:hAnsi="Arial" w:cs="Arial"/>
                <w:color w:val="333333"/>
                <w:sz w:val="28"/>
                <w:szCs w:val="28"/>
              </w:rPr>
              <w:t>8</w:t>
            </w:r>
            <w:r w:rsidRPr="00B960AF">
              <w:rPr>
                <w:rFonts w:ascii="Arial" w:hAnsi="Arial" w:cs="Arial"/>
                <w:color w:val="333333"/>
                <w:sz w:val="28"/>
                <w:szCs w:val="28"/>
              </w:rPr>
              <w:t>万元</w:t>
            </w:r>
          </w:p>
        </w:tc>
      </w:tr>
      <w:tr w:rsidR="00F622A3" w:rsidRPr="00816CCF" w:rsidTr="004D6D0C">
        <w:trPr>
          <w:jc w:val="center"/>
        </w:trPr>
        <w:tc>
          <w:tcPr>
            <w:tcW w:w="894" w:type="pct"/>
            <w:vAlign w:val="center"/>
          </w:tcPr>
          <w:p w:rsidR="00F622A3" w:rsidRPr="00A03812" w:rsidRDefault="00F622A3" w:rsidP="004D6D0C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设备用途</w:t>
            </w:r>
          </w:p>
        </w:tc>
        <w:tc>
          <w:tcPr>
            <w:tcW w:w="4106" w:type="pct"/>
            <w:gridSpan w:val="3"/>
          </w:tcPr>
          <w:p w:rsidR="00F622A3" w:rsidRPr="00A03812" w:rsidRDefault="00F622A3" w:rsidP="004D6D0C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适用</w:t>
            </w:r>
            <w:r w:rsidRPr="009D595B">
              <w:rPr>
                <w:rFonts w:ascii="Times New Roman" w:hAnsiTheme="minorEastAsia"/>
                <w:sz w:val="28"/>
                <w:szCs w:val="28"/>
              </w:rPr>
              <w:t>胰岛素输注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要求</w:t>
            </w:r>
            <w:r w:rsidRPr="009D37DE">
              <w:rPr>
                <w:rFonts w:ascii="Arial" w:hAnsi="Arial" w:cs="Arial" w:hint="eastAsia"/>
                <w:color w:val="333333"/>
                <w:sz w:val="28"/>
                <w:szCs w:val="28"/>
              </w:rPr>
              <w:t>。</w:t>
            </w:r>
          </w:p>
        </w:tc>
      </w:tr>
      <w:tr w:rsidR="00F622A3" w:rsidRPr="00816CCF" w:rsidTr="004D6D0C">
        <w:trPr>
          <w:trHeight w:val="1001"/>
          <w:jc w:val="center"/>
        </w:trPr>
        <w:tc>
          <w:tcPr>
            <w:tcW w:w="894" w:type="pct"/>
            <w:vAlign w:val="center"/>
          </w:tcPr>
          <w:p w:rsidR="00F622A3" w:rsidRPr="00640BB9" w:rsidRDefault="00F622A3" w:rsidP="004D6D0C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640BB9">
              <w:rPr>
                <w:rFonts w:ascii="Arial" w:hAnsi="Arial" w:cs="Arial" w:hint="eastAsia"/>
                <w:color w:val="333333"/>
                <w:sz w:val="28"/>
                <w:szCs w:val="28"/>
              </w:rPr>
              <w:t>设备主要</w:t>
            </w:r>
            <w:r w:rsidRPr="00640BB9">
              <w:rPr>
                <w:rFonts w:ascii="Arial" w:hAnsi="Arial" w:cs="Arial"/>
                <w:color w:val="333333"/>
                <w:sz w:val="28"/>
                <w:szCs w:val="28"/>
              </w:rPr>
              <w:t>构成</w:t>
            </w:r>
          </w:p>
        </w:tc>
        <w:tc>
          <w:tcPr>
            <w:tcW w:w="4106" w:type="pct"/>
            <w:gridSpan w:val="3"/>
          </w:tcPr>
          <w:p w:rsidR="00F622A3" w:rsidRPr="00640BB9" w:rsidRDefault="00F622A3" w:rsidP="004D6D0C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eastAsiaTheme="minorEastAsia" w:hAnsi="Arial" w:cs="Arial"/>
                <w:color w:val="333333"/>
                <w:kern w:val="2"/>
                <w:sz w:val="28"/>
                <w:szCs w:val="28"/>
              </w:rPr>
            </w:pPr>
            <w:r w:rsidRPr="00640BB9">
              <w:rPr>
                <w:rFonts w:ascii="Arial" w:eastAsiaTheme="minorEastAsia" w:hAnsi="Arial" w:cs="Arial" w:hint="eastAsia"/>
                <w:color w:val="333333"/>
                <w:kern w:val="2"/>
                <w:sz w:val="28"/>
                <w:szCs w:val="28"/>
              </w:rPr>
              <w:t>主机及注射管路</w:t>
            </w:r>
          </w:p>
        </w:tc>
      </w:tr>
      <w:tr w:rsidR="00F622A3" w:rsidTr="004D6D0C">
        <w:trPr>
          <w:trHeight w:val="2130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A3" w:rsidRPr="004E2375" w:rsidRDefault="00F622A3" w:rsidP="004D6D0C">
            <w:pPr>
              <w:pStyle w:val="a8"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采购所需技术参数</w:t>
            </w:r>
          </w:p>
        </w:tc>
        <w:tc>
          <w:tcPr>
            <w:tcW w:w="4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A3" w:rsidRPr="00640BB9" w:rsidRDefault="00F622A3" w:rsidP="004D6D0C">
            <w:pPr>
              <w:tabs>
                <w:tab w:val="left" w:pos="8280"/>
              </w:tabs>
              <w:snapToGrid w:val="0"/>
              <w:jc w:val="center"/>
              <w:rPr>
                <w:rFonts w:hAnsiTheme="minorEastAsia"/>
                <w:b/>
                <w:sz w:val="24"/>
              </w:rPr>
            </w:pPr>
            <w:r w:rsidRPr="00640BB9">
              <w:rPr>
                <w:rFonts w:hAnsiTheme="minorEastAsia"/>
                <w:b/>
                <w:sz w:val="24"/>
              </w:rPr>
              <w:t>胰岛素泵技术参数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/>
              </w:rPr>
              <w:t>基础</w:t>
            </w:r>
            <w:proofErr w:type="gramStart"/>
            <w:r w:rsidRPr="00640BB9">
              <w:rPr>
                <w:rFonts w:ascii="Times New Roman" w:eastAsiaTheme="minorEastAsia" w:hAnsiTheme="minorEastAsia" w:cs="Times New Roman"/>
              </w:rPr>
              <w:t>率范围</w:t>
            </w:r>
            <w:proofErr w:type="gramEnd"/>
            <w:r w:rsidRPr="00640BB9">
              <w:rPr>
                <w:rFonts w:ascii="Times New Roman" w:eastAsiaTheme="minorEastAsia" w:hAnsiTheme="minorEastAsia" w:cs="Times New Roman"/>
              </w:rPr>
              <w:t>和步长：</w:t>
            </w:r>
            <w:r w:rsidRPr="00640BB9">
              <w:rPr>
                <w:rFonts w:ascii="Times New Roman" w:eastAsiaTheme="minorEastAsia" w:hAnsi="Times New Roman" w:cs="Times New Roman"/>
              </w:rPr>
              <w:t>0</w:t>
            </w:r>
            <w:r w:rsidRPr="00640BB9">
              <w:rPr>
                <w:rFonts w:ascii="Times New Roman" w:eastAsiaTheme="minorEastAsia" w:hAnsiTheme="minorEastAsia" w:cs="Times New Roman"/>
              </w:rPr>
              <w:t>．</w:t>
            </w:r>
            <w:r w:rsidRPr="00640BB9">
              <w:rPr>
                <w:rFonts w:ascii="Times New Roman" w:eastAsiaTheme="minorEastAsia" w:hAnsi="Times New Roman" w:cs="Times New Roman"/>
              </w:rPr>
              <w:t>05</w:t>
            </w:r>
            <w:r w:rsidRPr="00640BB9">
              <w:rPr>
                <w:rFonts w:ascii="Times New Roman" w:eastAsiaTheme="minorEastAsia" w:hAnsiTheme="minorEastAsia" w:cs="Times New Roman"/>
              </w:rPr>
              <w:t>－</w:t>
            </w:r>
            <w:r w:rsidRPr="00640BB9">
              <w:rPr>
                <w:rFonts w:ascii="Times New Roman" w:eastAsiaTheme="minorEastAsia" w:hAnsi="Times New Roman" w:cs="Times New Roman"/>
              </w:rPr>
              <w:t>35</w:t>
            </w:r>
            <w:r w:rsidRPr="00640BB9">
              <w:rPr>
                <w:rFonts w:ascii="Times New Roman" w:eastAsiaTheme="minorEastAsia" w:hAnsiTheme="minorEastAsia" w:cs="Times New Roman"/>
              </w:rPr>
              <w:t>单位</w:t>
            </w:r>
            <w:r w:rsidRPr="00640BB9">
              <w:rPr>
                <w:rFonts w:ascii="Times New Roman" w:eastAsiaTheme="minorEastAsia" w:hAnsi="Times New Roman" w:cs="Times New Roman"/>
              </w:rPr>
              <w:t>/</w:t>
            </w:r>
            <w:r w:rsidRPr="00640BB9">
              <w:rPr>
                <w:rFonts w:ascii="Times New Roman" w:eastAsiaTheme="minorEastAsia" w:hAnsiTheme="minorEastAsia" w:cs="Times New Roman"/>
              </w:rPr>
              <w:t>小时</w:t>
            </w:r>
            <w:r w:rsidRPr="00640BB9">
              <w:rPr>
                <w:rFonts w:ascii="Times New Roman" w:eastAsiaTheme="minorEastAsia" w:hAnsi="Times New Roman" w:cs="Times New Roman" w:hint="eastAsia"/>
              </w:rPr>
              <w:t>，</w:t>
            </w:r>
            <w:r w:rsidRPr="00640BB9">
              <w:rPr>
                <w:rFonts w:ascii="Times New Roman" w:eastAsiaTheme="minorEastAsia" w:hAnsi="Times New Roman" w:cs="Times New Roman"/>
              </w:rPr>
              <w:t>0.05</w:t>
            </w:r>
            <w:r w:rsidRPr="00640BB9">
              <w:rPr>
                <w:rFonts w:ascii="Times New Roman" w:eastAsiaTheme="minorEastAsia" w:hAnsiTheme="minorEastAsia" w:cs="Times New Roman"/>
              </w:rPr>
              <w:t>单位增量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/>
              </w:rPr>
              <w:t>基础率</w:t>
            </w:r>
            <w:r w:rsidRPr="00640BB9">
              <w:rPr>
                <w:rFonts w:ascii="Times New Roman" w:eastAsiaTheme="minorEastAsia" w:hAnsi="Times New Roman" w:cs="Times New Roman" w:hint="eastAsia"/>
              </w:rPr>
              <w:t>：</w:t>
            </w:r>
            <w:r w:rsidRPr="00640BB9">
              <w:rPr>
                <w:rFonts w:ascii="Times New Roman" w:eastAsiaTheme="minorEastAsia" w:hAnsi="Times New Roman" w:cs="Times New Roman"/>
              </w:rPr>
              <w:t>48</w:t>
            </w:r>
            <w:r w:rsidRPr="00640BB9">
              <w:rPr>
                <w:rFonts w:ascii="Times New Roman" w:eastAsiaTheme="minorEastAsia" w:hAnsiTheme="minorEastAsia" w:cs="Times New Roman"/>
              </w:rPr>
              <w:t>段基础率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/>
              </w:rPr>
              <w:t>临时基础率调节方式</w:t>
            </w:r>
            <w:r w:rsidRPr="00640BB9">
              <w:rPr>
                <w:rFonts w:ascii="Times New Roman" w:eastAsiaTheme="minorEastAsia" w:hAnsi="Times New Roman" w:cs="Times New Roman" w:hint="eastAsia"/>
              </w:rPr>
              <w:t>：</w:t>
            </w:r>
            <w:r w:rsidRPr="00640BB9">
              <w:rPr>
                <w:rFonts w:ascii="Times New Roman" w:eastAsiaTheme="minorEastAsia" w:hAnsiTheme="minorEastAsia" w:cs="Times New Roman"/>
              </w:rPr>
              <w:t>单位调整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="Times New Roman" w:cs="Times New Roman" w:hint="eastAsia"/>
              </w:rPr>
              <w:t>胰岛素输注方式：专利的生理脉冲式</w:t>
            </w:r>
            <w:r w:rsidRPr="00640BB9">
              <w:rPr>
                <w:rFonts w:ascii="Times New Roman" w:eastAsiaTheme="minorEastAsia" w:hAnsiTheme="minorEastAsia" w:cs="Times New Roman"/>
              </w:rPr>
              <w:t>胰岛素输注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 w:hint="eastAsia"/>
              </w:rPr>
              <w:t>胰岛素浓度：</w:t>
            </w:r>
            <w:r w:rsidRPr="00640BB9">
              <w:rPr>
                <w:rFonts w:ascii="Times New Roman" w:eastAsiaTheme="minorEastAsia" w:hAnsiTheme="minorEastAsia" w:cs="Times New Roman" w:hint="eastAsia"/>
              </w:rPr>
              <w:t>U-100</w:t>
            </w:r>
            <w:r w:rsidRPr="00640BB9">
              <w:rPr>
                <w:rFonts w:ascii="Times New Roman" w:eastAsiaTheme="minorEastAsia" w:hAnsiTheme="minorEastAsia" w:cs="Times New Roman" w:hint="eastAsia"/>
              </w:rPr>
              <w:t>浓度胰岛素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/>
              </w:rPr>
              <w:t>大剂量输注方式</w:t>
            </w:r>
            <w:r w:rsidRPr="00640BB9">
              <w:rPr>
                <w:rFonts w:ascii="Times New Roman" w:eastAsiaTheme="minorEastAsia" w:hAnsi="Times New Roman" w:cs="Times New Roman" w:hint="eastAsia"/>
              </w:rPr>
              <w:t>：</w:t>
            </w:r>
            <w:r w:rsidRPr="00640BB9">
              <w:rPr>
                <w:rFonts w:ascii="Times New Roman" w:eastAsiaTheme="minorEastAsia" w:hAnsiTheme="minorEastAsia" w:cs="Times New Roman"/>
              </w:rPr>
              <w:t>正常波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/>
              </w:rPr>
              <w:t>大剂量范围和增量</w:t>
            </w:r>
            <w:r w:rsidRPr="00640BB9">
              <w:rPr>
                <w:rFonts w:ascii="Times New Roman" w:eastAsiaTheme="minorEastAsia" w:hAnsi="Times New Roman" w:cs="Times New Roman" w:hint="eastAsia"/>
              </w:rPr>
              <w:t>：</w:t>
            </w:r>
            <w:r w:rsidRPr="00640BB9">
              <w:rPr>
                <w:rFonts w:ascii="Times New Roman" w:eastAsiaTheme="minorEastAsia" w:hAnsi="Times New Roman" w:cs="Times New Roman"/>
              </w:rPr>
              <w:t>0</w:t>
            </w:r>
            <w:r w:rsidRPr="00640BB9">
              <w:rPr>
                <w:rFonts w:ascii="Times New Roman" w:eastAsiaTheme="minorEastAsia" w:hAnsiTheme="minorEastAsia" w:cs="Times New Roman"/>
              </w:rPr>
              <w:t>－</w:t>
            </w:r>
            <w:r w:rsidRPr="00640BB9">
              <w:rPr>
                <w:rFonts w:ascii="Times New Roman" w:eastAsiaTheme="minorEastAsia" w:hAnsi="Times New Roman" w:cs="Times New Roman"/>
              </w:rPr>
              <w:t>25U</w:t>
            </w:r>
            <w:r w:rsidRPr="00640BB9">
              <w:rPr>
                <w:rFonts w:ascii="Times New Roman" w:eastAsiaTheme="minorEastAsia" w:hAnsiTheme="minorEastAsia" w:cs="Times New Roman"/>
              </w:rPr>
              <w:t>，</w:t>
            </w:r>
            <w:r w:rsidRPr="00640BB9">
              <w:rPr>
                <w:rFonts w:ascii="Times New Roman" w:eastAsiaTheme="minorEastAsia" w:hAnsi="Times New Roman" w:cs="Times New Roman"/>
              </w:rPr>
              <w:t>0.1U</w:t>
            </w:r>
            <w:r w:rsidRPr="00640BB9">
              <w:rPr>
                <w:rFonts w:ascii="Times New Roman" w:eastAsiaTheme="minorEastAsia" w:hAnsiTheme="minorEastAsia" w:cs="Times New Roman"/>
              </w:rPr>
              <w:t>增量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/>
              </w:rPr>
              <w:t>报警模式：蜂鸣</w:t>
            </w:r>
            <w:r w:rsidRPr="00640BB9">
              <w:rPr>
                <w:rFonts w:ascii="Times New Roman" w:eastAsiaTheme="minorEastAsia" w:hAnsiTheme="minorEastAsia" w:cs="Times New Roman" w:hint="eastAsia"/>
              </w:rPr>
              <w:t>与</w:t>
            </w:r>
            <w:r w:rsidRPr="00640BB9">
              <w:rPr>
                <w:rFonts w:ascii="Times New Roman" w:eastAsiaTheme="minorEastAsia" w:hAnsiTheme="minorEastAsia" w:cs="Times New Roman"/>
              </w:rPr>
              <w:t>振动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/>
              </w:rPr>
              <w:t>马达：安全直流电马达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/>
              </w:rPr>
              <w:t>胰岛素输注精度</w:t>
            </w:r>
            <w:r w:rsidRPr="00640BB9">
              <w:rPr>
                <w:rFonts w:ascii="Times New Roman" w:eastAsiaTheme="minorEastAsia" w:hAnsiTheme="minorEastAsia" w:cs="Times New Roman" w:hint="eastAsia"/>
              </w:rPr>
              <w:t>：</w:t>
            </w:r>
            <w:r w:rsidRPr="00640BB9">
              <w:rPr>
                <w:rFonts w:ascii="Times New Roman" w:eastAsiaTheme="minorEastAsia" w:hAnsi="Times New Roman" w:cs="Times New Roman"/>
              </w:rPr>
              <w:t>&lt;±5%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/>
              </w:rPr>
              <w:t>电池：</w:t>
            </w:r>
            <w:r w:rsidRPr="00640BB9">
              <w:rPr>
                <w:rFonts w:ascii="Times New Roman" w:eastAsiaTheme="minorEastAsia" w:hAnsi="Times New Roman" w:cs="Times New Roman"/>
              </w:rPr>
              <w:t>1</w:t>
            </w:r>
            <w:r w:rsidRPr="00640BB9">
              <w:rPr>
                <w:rFonts w:ascii="Times New Roman" w:eastAsiaTheme="minorEastAsia" w:hAnsiTheme="minorEastAsia" w:cs="Times New Roman"/>
              </w:rPr>
              <w:t>节</w:t>
            </w:r>
            <w:r w:rsidRPr="00640BB9">
              <w:rPr>
                <w:rFonts w:ascii="Times New Roman" w:eastAsiaTheme="minorEastAsia" w:hAnsi="Times New Roman" w:cs="Times New Roman"/>
              </w:rPr>
              <w:t>AAA</w:t>
            </w:r>
            <w:r w:rsidRPr="00640BB9">
              <w:rPr>
                <w:rFonts w:ascii="Times New Roman" w:eastAsiaTheme="minorEastAsia" w:hAnsiTheme="minorEastAsia" w:cs="Times New Roman"/>
              </w:rPr>
              <w:t>电池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/>
              </w:rPr>
              <w:t>防水性能：</w:t>
            </w:r>
            <w:r w:rsidRPr="00640BB9">
              <w:rPr>
                <w:rFonts w:ascii="Times New Roman" w:eastAsiaTheme="minorEastAsia" w:hAnsi="Times New Roman" w:cs="Times New Roman"/>
              </w:rPr>
              <w:t>IPX7</w:t>
            </w:r>
            <w:r w:rsidRPr="00640BB9">
              <w:rPr>
                <w:rFonts w:ascii="Times New Roman" w:eastAsiaTheme="minorEastAsia" w:hAnsiTheme="minorEastAsia" w:cs="Times New Roman"/>
              </w:rPr>
              <w:t>，可防溅水和一过性浸水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640BB9">
              <w:rPr>
                <w:rFonts w:ascii="Times New Roman" w:eastAsiaTheme="minorEastAsia" w:hAnsiTheme="minorEastAsia" w:cs="Times New Roman"/>
                <w:color w:val="000000"/>
              </w:rPr>
              <w:t>安全设置：每天数百万次的自动检查，还有手动自检功能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Theme="minorEastAsia" w:cs="Times New Roman"/>
                <w:color w:val="000000"/>
              </w:rPr>
              <w:t>储药器剩余量不足报警：单位</w:t>
            </w:r>
            <w:r w:rsidRPr="00640BB9">
              <w:rPr>
                <w:rFonts w:ascii="Times New Roman" w:eastAsiaTheme="minorEastAsia" w:hAnsiTheme="minorEastAsia" w:cs="Times New Roman" w:hint="eastAsia"/>
                <w:color w:val="000000"/>
              </w:rPr>
              <w:t>剩余</w:t>
            </w:r>
            <w:r w:rsidRPr="00640BB9">
              <w:rPr>
                <w:rFonts w:ascii="Times New Roman" w:eastAsiaTheme="minorEastAsia" w:hAnsiTheme="minorEastAsia" w:cs="Times New Roman"/>
                <w:color w:val="000000"/>
              </w:rPr>
              <w:t>报警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</w:rPr>
            </w:pPr>
            <w:r w:rsidRPr="00640BB9">
              <w:rPr>
                <w:rFonts w:ascii="Times New Roman" w:eastAsiaTheme="minorEastAsia" w:hAnsi="Times New Roman" w:cs="Times New Roman" w:hint="eastAsia"/>
              </w:rPr>
              <w:t>具有低电压报警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640BB9">
              <w:rPr>
                <w:rFonts w:ascii="Times New Roman" w:eastAsiaTheme="minorEastAsia" w:hAnsi="Times New Roman" w:cs="Times New Roman" w:hint="eastAsia"/>
                <w:color w:val="000000"/>
              </w:rPr>
              <w:t>操作界面：逐层菜单式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640BB9">
              <w:rPr>
                <w:rFonts w:ascii="Times New Roman" w:eastAsiaTheme="minorEastAsia" w:hAnsiTheme="minorEastAsia" w:cs="Times New Roman"/>
                <w:color w:val="000000"/>
              </w:rPr>
              <w:t>语言：中英文</w:t>
            </w:r>
            <w:r w:rsidRPr="00640BB9">
              <w:rPr>
                <w:rFonts w:ascii="Times New Roman" w:eastAsiaTheme="minorEastAsia" w:hAnsiTheme="minorEastAsia" w:cs="Times New Roman" w:hint="eastAsia"/>
                <w:color w:val="000000"/>
              </w:rPr>
              <w:t>2</w:t>
            </w:r>
            <w:r w:rsidRPr="00640BB9">
              <w:rPr>
                <w:rFonts w:ascii="Times New Roman" w:eastAsiaTheme="minorEastAsia" w:hAnsiTheme="minorEastAsia" w:cs="Times New Roman"/>
                <w:color w:val="000000"/>
              </w:rPr>
              <w:t>种语言</w:t>
            </w:r>
          </w:p>
          <w:p w:rsidR="00F622A3" w:rsidRPr="00DC3BF3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640BB9">
              <w:rPr>
                <w:rFonts w:ascii="Times New Roman" w:eastAsiaTheme="minorEastAsia" w:hAnsiTheme="minorEastAsia" w:cs="Times New Roman"/>
                <w:color w:val="000000"/>
              </w:rPr>
              <w:t>免费保修期</w:t>
            </w:r>
            <w:r w:rsidRPr="00640BB9">
              <w:rPr>
                <w:rFonts w:ascii="Times New Roman" w:eastAsiaTheme="minorEastAsia" w:hAnsi="Times New Roman" w:cs="Times New Roman" w:hint="eastAsia"/>
                <w:color w:val="000000"/>
              </w:rPr>
              <w:t>要求自保单签订起≥肆</w:t>
            </w:r>
            <w:r w:rsidRPr="00640BB9">
              <w:rPr>
                <w:rFonts w:ascii="Times New Roman" w:eastAsiaTheme="minorEastAsia" w:hAnsiTheme="minorEastAsia" w:cs="Times New Roman"/>
                <w:color w:val="000000"/>
              </w:rPr>
              <w:t>年</w:t>
            </w:r>
          </w:p>
          <w:p w:rsidR="00F622A3" w:rsidRPr="00640BB9" w:rsidRDefault="00F622A3" w:rsidP="00F622A3">
            <w:pPr>
              <w:pStyle w:val="p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46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89661A">
              <w:rPr>
                <w:rFonts w:hint="eastAsia"/>
                <w:szCs w:val="21"/>
              </w:rPr>
              <w:t>▲所用耗材必须在</w:t>
            </w:r>
            <w:r>
              <w:rPr>
                <w:rFonts w:hint="eastAsia"/>
                <w:szCs w:val="21"/>
              </w:rPr>
              <w:t>阳光采购平台中标品种目录中可查询。</w:t>
            </w:r>
          </w:p>
        </w:tc>
      </w:tr>
    </w:tbl>
    <w:p w:rsidR="00183390" w:rsidRPr="00F622A3" w:rsidRDefault="00183390" w:rsidP="00560D14">
      <w:pPr>
        <w:spacing w:line="360" w:lineRule="auto"/>
        <w:rPr>
          <w:rFonts w:ascii="仿宋_GB2312" w:eastAsia="仿宋_GB2312" w:hAnsiTheme="majorEastAsia"/>
          <w:b/>
          <w:bCs/>
          <w:color w:val="000000"/>
          <w:sz w:val="28"/>
          <w:szCs w:val="28"/>
        </w:rPr>
      </w:pPr>
    </w:p>
    <w:sectPr w:rsidR="00183390" w:rsidRPr="00F622A3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37" w:rsidRDefault="00002B37" w:rsidP="007767ED">
      <w:r>
        <w:separator/>
      </w:r>
    </w:p>
  </w:endnote>
  <w:endnote w:type="continuationSeparator" w:id="0">
    <w:p w:rsidR="00002B37" w:rsidRDefault="00002B37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2B5D5F">
        <w:pPr>
          <w:pStyle w:val="a4"/>
          <w:jc w:val="center"/>
        </w:pPr>
        <w:fldSimple w:instr="PAGE   \* MERGEFORMAT">
          <w:r w:rsidR="00F622A3" w:rsidRPr="00F622A3">
            <w:rPr>
              <w:noProof/>
              <w:lang w:val="zh-CN"/>
            </w:rPr>
            <w:t>14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37" w:rsidRDefault="00002B37" w:rsidP="007767ED">
      <w:r>
        <w:separator/>
      </w:r>
    </w:p>
  </w:footnote>
  <w:footnote w:type="continuationSeparator" w:id="0">
    <w:p w:rsidR="00002B37" w:rsidRDefault="00002B37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BA56B7"/>
    <w:multiLevelType w:val="hybridMultilevel"/>
    <w:tmpl w:val="7CE02FC8"/>
    <w:lvl w:ilvl="0" w:tplc="0EBE1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02B37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7FF4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4A35"/>
    <w:rsid w:val="000C54F7"/>
    <w:rsid w:val="000C63C3"/>
    <w:rsid w:val="000C69BB"/>
    <w:rsid w:val="000D0940"/>
    <w:rsid w:val="000D2493"/>
    <w:rsid w:val="000D3B06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D5FA1"/>
    <w:rsid w:val="001D6B5E"/>
    <w:rsid w:val="001F4EC5"/>
    <w:rsid w:val="001F6501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1914"/>
    <w:rsid w:val="002339C9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B5346"/>
    <w:rsid w:val="002B5D5F"/>
    <w:rsid w:val="002C30EE"/>
    <w:rsid w:val="002C34B8"/>
    <w:rsid w:val="002C359E"/>
    <w:rsid w:val="002D0111"/>
    <w:rsid w:val="002D19A7"/>
    <w:rsid w:val="002D4A35"/>
    <w:rsid w:val="002E21D5"/>
    <w:rsid w:val="002E41A8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2DA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3F5E1C"/>
    <w:rsid w:val="00406FB3"/>
    <w:rsid w:val="004240F0"/>
    <w:rsid w:val="004315EE"/>
    <w:rsid w:val="0043288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B5B1C"/>
    <w:rsid w:val="004C1624"/>
    <w:rsid w:val="004E12BF"/>
    <w:rsid w:val="004E1B22"/>
    <w:rsid w:val="004E5FBB"/>
    <w:rsid w:val="004E62AB"/>
    <w:rsid w:val="004F103B"/>
    <w:rsid w:val="004F4376"/>
    <w:rsid w:val="00500105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A54B3"/>
    <w:rsid w:val="005C6BF0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5B81"/>
    <w:rsid w:val="00653E1C"/>
    <w:rsid w:val="006543BC"/>
    <w:rsid w:val="006655C6"/>
    <w:rsid w:val="006705FE"/>
    <w:rsid w:val="0067098E"/>
    <w:rsid w:val="00680CC1"/>
    <w:rsid w:val="00686127"/>
    <w:rsid w:val="00687D6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5206A"/>
    <w:rsid w:val="00757E06"/>
    <w:rsid w:val="00760878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42AD"/>
    <w:rsid w:val="007A7C52"/>
    <w:rsid w:val="007B0104"/>
    <w:rsid w:val="007B6432"/>
    <w:rsid w:val="007C0039"/>
    <w:rsid w:val="007C37F9"/>
    <w:rsid w:val="007C734B"/>
    <w:rsid w:val="007D061A"/>
    <w:rsid w:val="007F616F"/>
    <w:rsid w:val="007F6533"/>
    <w:rsid w:val="008006F8"/>
    <w:rsid w:val="00806674"/>
    <w:rsid w:val="00807548"/>
    <w:rsid w:val="00815DA6"/>
    <w:rsid w:val="00815F11"/>
    <w:rsid w:val="008333E4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6186"/>
    <w:rsid w:val="0099139E"/>
    <w:rsid w:val="00994A11"/>
    <w:rsid w:val="00994AC6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A3BE6"/>
    <w:rsid w:val="00AB563D"/>
    <w:rsid w:val="00AB65DC"/>
    <w:rsid w:val="00AC1B4A"/>
    <w:rsid w:val="00AC6506"/>
    <w:rsid w:val="00AD7AFD"/>
    <w:rsid w:val="00AE5F66"/>
    <w:rsid w:val="00AF35A8"/>
    <w:rsid w:val="00B05B1C"/>
    <w:rsid w:val="00B06831"/>
    <w:rsid w:val="00B07A66"/>
    <w:rsid w:val="00B2037E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E2A80"/>
    <w:rsid w:val="00BE37CE"/>
    <w:rsid w:val="00BF1F2A"/>
    <w:rsid w:val="00BF4959"/>
    <w:rsid w:val="00BF73CD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34A50"/>
    <w:rsid w:val="00D34DC4"/>
    <w:rsid w:val="00D41794"/>
    <w:rsid w:val="00D41850"/>
    <w:rsid w:val="00D42092"/>
    <w:rsid w:val="00D461E5"/>
    <w:rsid w:val="00D46E9A"/>
    <w:rsid w:val="00D5385F"/>
    <w:rsid w:val="00D557F3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823F6"/>
    <w:rsid w:val="00DA06C6"/>
    <w:rsid w:val="00DA4A50"/>
    <w:rsid w:val="00DA64C2"/>
    <w:rsid w:val="00DA6669"/>
    <w:rsid w:val="00DC1374"/>
    <w:rsid w:val="00DC1F06"/>
    <w:rsid w:val="00DE14AC"/>
    <w:rsid w:val="00DE4DA7"/>
    <w:rsid w:val="00DF2C41"/>
    <w:rsid w:val="00E0123C"/>
    <w:rsid w:val="00E03D2D"/>
    <w:rsid w:val="00E06133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973F1"/>
    <w:rsid w:val="00EA1244"/>
    <w:rsid w:val="00EA645E"/>
    <w:rsid w:val="00EA6D93"/>
    <w:rsid w:val="00EB223D"/>
    <w:rsid w:val="00EB2807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22A3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qFormat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F62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E660-8A65-4274-864C-47D762AF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16</Pages>
  <Words>797</Words>
  <Characters>4546</Characters>
  <Application>Microsoft Office Word</Application>
  <DocSecurity>0</DocSecurity>
  <Lines>37</Lines>
  <Paragraphs>10</Paragraphs>
  <ScaleCrop>false</ScaleCrop>
  <Company>泰兴市中医院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283</cp:revision>
  <cp:lastPrinted>2019-09-03T10:12:00Z</cp:lastPrinted>
  <dcterms:created xsi:type="dcterms:W3CDTF">2016-12-15T02:40:00Z</dcterms:created>
  <dcterms:modified xsi:type="dcterms:W3CDTF">2020-08-10T08:35:00Z</dcterms:modified>
</cp:coreProperties>
</file>