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7F6533">
        <w:rPr>
          <w:rFonts w:eastAsia="仿宋_GB2312" w:hint="eastAsia"/>
          <w:sz w:val="32"/>
        </w:rPr>
        <w:t>1</w:t>
      </w:r>
      <w:r w:rsidR="00561360">
        <w:rPr>
          <w:rFonts w:eastAsia="仿宋_GB2312" w:hint="eastAsia"/>
          <w:sz w:val="32"/>
        </w:rPr>
        <w:t>3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561360" w:rsidRPr="00561360">
        <w:rPr>
          <w:rFonts w:ascii="仿宋_GB2312" w:eastAsia="仿宋_GB2312" w:hint="eastAsia"/>
          <w:kern w:val="0"/>
          <w:sz w:val="36"/>
          <w:szCs w:val="36"/>
          <w:u w:val="single"/>
        </w:rPr>
        <w:t>排痰仪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561360">
        <w:rPr>
          <w:rFonts w:ascii="仿宋_GB2312" w:eastAsia="仿宋_GB2312" w:hint="eastAsia"/>
          <w:kern w:val="0"/>
          <w:sz w:val="36"/>
          <w:szCs w:val="36"/>
          <w:u w:val="single"/>
        </w:rPr>
        <w:t>五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56136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56136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561360" w:rsidRPr="00561360">
        <w:rPr>
          <w:rFonts w:ascii="仿宋_GB2312" w:eastAsia="仿宋_GB2312" w:hAnsi="宋体" w:cs="宋体" w:hint="eastAsia"/>
          <w:sz w:val="32"/>
          <w:szCs w:val="32"/>
        </w:rPr>
        <w:t>排痰仪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D97A14">
        <w:rPr>
          <w:rFonts w:ascii="仿宋_GB2312" w:eastAsia="仿宋_GB2312" w:hint="eastAsia"/>
          <w:sz w:val="32"/>
          <w:szCs w:val="32"/>
        </w:rPr>
        <w:t>5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F6533">
        <w:rPr>
          <w:rFonts w:ascii="仿宋_GB2312" w:eastAsia="仿宋_GB2312" w:hint="eastAsia"/>
          <w:sz w:val="32"/>
          <w:szCs w:val="32"/>
        </w:rPr>
        <w:t>2</w:t>
      </w:r>
      <w:r w:rsidR="00D97A14">
        <w:rPr>
          <w:rFonts w:ascii="仿宋_GB2312" w:eastAsia="仿宋_GB2312" w:hint="eastAsia"/>
          <w:sz w:val="32"/>
          <w:szCs w:val="32"/>
        </w:rPr>
        <w:t>0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561360">
        <w:rPr>
          <w:rFonts w:ascii="仿宋_GB2312" w:eastAsia="仿宋_GB2312" w:hint="eastAsia"/>
          <w:sz w:val="32"/>
          <w:szCs w:val="32"/>
        </w:rPr>
        <w:t>5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F6533">
        <w:rPr>
          <w:rFonts w:ascii="仿宋_GB2312" w:eastAsia="仿宋_GB2312" w:hint="eastAsia"/>
          <w:sz w:val="32"/>
          <w:szCs w:val="32"/>
        </w:rPr>
        <w:t>2</w:t>
      </w:r>
      <w:r w:rsidR="00561360">
        <w:rPr>
          <w:rFonts w:ascii="仿宋_GB2312" w:eastAsia="仿宋_GB2312" w:hint="eastAsia"/>
          <w:sz w:val="32"/>
          <w:szCs w:val="32"/>
        </w:rPr>
        <w:t>0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561360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单位：泰兴市卫健委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561360">
        <w:rPr>
          <w:rFonts w:ascii="仿宋_GB2312" w:eastAsia="仿宋_GB2312" w:hint="eastAsia"/>
          <w:sz w:val="32"/>
        </w:rPr>
        <w:t>3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561360">
        <w:rPr>
          <w:rFonts w:ascii="仿宋_GB2312" w:eastAsia="仿宋_GB2312" w:hint="eastAsia"/>
          <w:sz w:val="32"/>
        </w:rPr>
        <w:t>3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4259DE" w:rsidRPr="004259DE" w:rsidRDefault="00F14B2A" w:rsidP="004259DE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tbl>
      <w:tblPr>
        <w:tblStyle w:val="a5"/>
        <w:tblW w:w="5000" w:type="pct"/>
        <w:jc w:val="center"/>
        <w:tblLook w:val="04A0"/>
      </w:tblPr>
      <w:tblGrid>
        <w:gridCol w:w="1597"/>
        <w:gridCol w:w="2449"/>
        <w:gridCol w:w="2449"/>
        <w:gridCol w:w="2451"/>
      </w:tblGrid>
      <w:tr w:rsidR="004259DE" w:rsidRPr="00816CCF" w:rsidTr="00A44CEF">
        <w:trPr>
          <w:jc w:val="center"/>
        </w:trPr>
        <w:tc>
          <w:tcPr>
            <w:tcW w:w="892" w:type="pct"/>
            <w:vAlign w:val="center"/>
          </w:tcPr>
          <w:p w:rsidR="004259DE" w:rsidRPr="00DE7B59" w:rsidRDefault="004259DE" w:rsidP="00A44CEF">
            <w:pPr>
              <w:pStyle w:val="a8"/>
              <w:spacing w:line="460" w:lineRule="exact"/>
              <w:ind w:firstLineChars="0" w:firstLine="0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DE7B59">
              <w:rPr>
                <w:rFonts w:ascii="宋体" w:hAnsi="宋体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8" w:type="pct"/>
            <w:gridSpan w:val="3"/>
            <w:vAlign w:val="center"/>
          </w:tcPr>
          <w:p w:rsidR="004259DE" w:rsidRPr="00DE7B59" w:rsidRDefault="004259DE" w:rsidP="00B00CF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7B59">
              <w:rPr>
                <w:rFonts w:ascii="宋体" w:hAnsi="宋体" w:cs="宋体" w:hint="eastAsia"/>
                <w:kern w:val="0"/>
                <w:sz w:val="28"/>
                <w:szCs w:val="28"/>
              </w:rPr>
              <w:t>排痰仪</w:t>
            </w:r>
          </w:p>
        </w:tc>
      </w:tr>
      <w:tr w:rsidR="004259DE" w:rsidRPr="00816CCF" w:rsidTr="00A44CEF">
        <w:trPr>
          <w:jc w:val="center"/>
        </w:trPr>
        <w:tc>
          <w:tcPr>
            <w:tcW w:w="892" w:type="pct"/>
            <w:vAlign w:val="center"/>
          </w:tcPr>
          <w:p w:rsidR="004259DE" w:rsidRPr="00DE7B59" w:rsidRDefault="004259DE" w:rsidP="00A44CEF">
            <w:pPr>
              <w:pStyle w:val="a8"/>
              <w:spacing w:line="46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DE7B59">
              <w:rPr>
                <w:rFonts w:ascii="宋体" w:hAnsi="宋体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369" w:type="pct"/>
            <w:vAlign w:val="center"/>
          </w:tcPr>
          <w:p w:rsidR="004259DE" w:rsidRPr="00DE7B59" w:rsidRDefault="004259DE" w:rsidP="00A44CE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7B59">
              <w:rPr>
                <w:rFonts w:ascii="宋体" w:hAnsi="宋体" w:cs="宋体" w:hint="eastAsia"/>
                <w:kern w:val="0"/>
                <w:sz w:val="28"/>
                <w:szCs w:val="28"/>
              </w:rPr>
              <w:t>5台</w:t>
            </w:r>
          </w:p>
        </w:tc>
        <w:tc>
          <w:tcPr>
            <w:tcW w:w="1369" w:type="pct"/>
            <w:vAlign w:val="center"/>
          </w:tcPr>
          <w:p w:rsidR="004259DE" w:rsidRPr="00DE7B59" w:rsidRDefault="004259DE" w:rsidP="00A44CE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7B59">
              <w:rPr>
                <w:rFonts w:ascii="宋体" w:hAnsi="宋体" w:cs="宋体" w:hint="eastAsia"/>
                <w:kern w:val="0"/>
                <w:sz w:val="28"/>
                <w:szCs w:val="28"/>
              </w:rPr>
              <w:t>采购预算价</w:t>
            </w:r>
          </w:p>
        </w:tc>
        <w:tc>
          <w:tcPr>
            <w:tcW w:w="1369" w:type="pct"/>
            <w:vAlign w:val="center"/>
          </w:tcPr>
          <w:p w:rsidR="004259DE" w:rsidRPr="00DE7B59" w:rsidRDefault="004259DE" w:rsidP="00A44CE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7B59">
              <w:rPr>
                <w:rFonts w:ascii="宋体" w:hAnsi="宋体" w:cs="宋体" w:hint="eastAsia"/>
                <w:kern w:val="0"/>
                <w:sz w:val="28"/>
                <w:szCs w:val="28"/>
              </w:rPr>
              <w:t>20万元</w:t>
            </w:r>
          </w:p>
        </w:tc>
      </w:tr>
      <w:tr w:rsidR="004259DE" w:rsidRPr="00816CCF" w:rsidTr="004259DE">
        <w:trPr>
          <w:trHeight w:val="2190"/>
          <w:jc w:val="center"/>
        </w:trPr>
        <w:tc>
          <w:tcPr>
            <w:tcW w:w="892" w:type="pct"/>
            <w:vAlign w:val="center"/>
          </w:tcPr>
          <w:p w:rsidR="004259DE" w:rsidRPr="00DE7B59" w:rsidRDefault="004259DE" w:rsidP="00A44CEF">
            <w:pPr>
              <w:pStyle w:val="a8"/>
              <w:spacing w:line="460" w:lineRule="exact"/>
              <w:ind w:firstLineChars="0" w:firstLine="0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DE7B59">
              <w:rPr>
                <w:rFonts w:ascii="宋体" w:hAnsi="宋体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8" w:type="pct"/>
            <w:gridSpan w:val="3"/>
            <w:vAlign w:val="center"/>
          </w:tcPr>
          <w:p w:rsidR="004259DE" w:rsidRPr="00DE7B59" w:rsidRDefault="004259DE" w:rsidP="00A44CEF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sz w:val="28"/>
                <w:szCs w:val="28"/>
              </w:rPr>
            </w:pPr>
            <w:r w:rsidRPr="00DE7B59">
              <w:rPr>
                <w:rFonts w:hint="eastAsia"/>
                <w:sz w:val="28"/>
                <w:szCs w:val="28"/>
              </w:rPr>
              <w:t>适用范围：用于胸腔外部处置时进行气道清除排痰治疗，适用于分泌物排出困难或由粘液阻塞引起的肺膨胀不全患者，同时促进气道清除排痰或改善支气管引流。</w:t>
            </w:r>
          </w:p>
        </w:tc>
      </w:tr>
      <w:tr w:rsidR="004259DE" w:rsidRPr="00816CCF" w:rsidTr="004259DE">
        <w:trPr>
          <w:trHeight w:val="1502"/>
          <w:jc w:val="center"/>
        </w:trPr>
        <w:tc>
          <w:tcPr>
            <w:tcW w:w="892" w:type="pct"/>
            <w:vAlign w:val="center"/>
          </w:tcPr>
          <w:p w:rsidR="004259DE" w:rsidRPr="00DE7B59" w:rsidRDefault="004259DE" w:rsidP="00A44CEF">
            <w:pPr>
              <w:pStyle w:val="a8"/>
              <w:spacing w:line="460" w:lineRule="exact"/>
              <w:ind w:firstLineChars="0" w:firstLine="0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DE7B59">
              <w:rPr>
                <w:rFonts w:ascii="宋体" w:hAnsi="宋体" w:cs="Arial" w:hint="eastAsia"/>
                <w:color w:val="333333"/>
                <w:sz w:val="28"/>
                <w:szCs w:val="28"/>
              </w:rPr>
              <w:t>设备主要</w:t>
            </w:r>
            <w:r w:rsidRPr="00DE7B59">
              <w:rPr>
                <w:rFonts w:ascii="宋体" w:hAnsi="宋体" w:cs="Arial"/>
                <w:color w:val="333333"/>
                <w:sz w:val="28"/>
                <w:szCs w:val="28"/>
              </w:rPr>
              <w:t>构成</w:t>
            </w:r>
          </w:p>
        </w:tc>
        <w:tc>
          <w:tcPr>
            <w:tcW w:w="4108" w:type="pct"/>
            <w:gridSpan w:val="3"/>
          </w:tcPr>
          <w:p w:rsidR="004259DE" w:rsidRPr="00DE7B59" w:rsidRDefault="004259DE" w:rsidP="00A44CEF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cs="Arial"/>
                <w:color w:val="333333"/>
                <w:kern w:val="2"/>
                <w:sz w:val="28"/>
                <w:szCs w:val="28"/>
              </w:rPr>
            </w:pPr>
            <w:r w:rsidRPr="00DE7B59">
              <w:rPr>
                <w:rFonts w:hint="eastAsia"/>
                <w:sz w:val="28"/>
                <w:szCs w:val="28"/>
              </w:rPr>
              <w:t>由主机（内置气动脉冲发生器）、导气波纹连接管、充气背心和手控器组成。</w:t>
            </w:r>
          </w:p>
        </w:tc>
      </w:tr>
      <w:tr w:rsidR="004259DE" w:rsidTr="00A44CEF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DE" w:rsidRPr="004E2375" w:rsidRDefault="004259DE" w:rsidP="00A44CEF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机型：柜式或台式机，方便移动</w:t>
            </w: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Pr="005076E8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2、</w:t>
            </w: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适用人群：成人、儿童；</w:t>
            </w:r>
          </w:p>
          <w:p w:rsidR="004259DE" w:rsidRPr="00977BAF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采用二根导气软管同步向充气背心充、放气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彩色液晶界面显示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，</w:t>
            </w:r>
          </w:p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操作方式：触摸操作或按键飞梭结合操作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6、工作时间长度可调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7、压力范围可调，振动频率以步进1Hz连续可调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手动模式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自动模式可循环选择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Pr="00C02A53" w:rsidRDefault="004259DE" w:rsidP="00A44CEF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背心由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外套及气囊两部分组成，可以拆卸，外套可按普通衣物的方式随时清洗</w:t>
            </w:r>
            <w:r w:rsidRPr="00977BAF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10、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具有保险功能：工作状态下，手柄紧急</w:t>
            </w:r>
            <w:proofErr w:type="gramStart"/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释压停止</w:t>
            </w:r>
            <w:proofErr w:type="gramEnd"/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装置或气动紧急停止安全开关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Default="004259DE" w:rsidP="00A44CEF">
            <w:pPr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11、具有</w:t>
            </w:r>
            <w:r w:rsidRPr="00C02A53">
              <w:rPr>
                <w:rFonts w:ascii="宋体" w:hAnsi="宋体" w:cs="宋体" w:hint="eastAsia"/>
                <w:kern w:val="0"/>
                <w:sz w:val="24"/>
                <w:szCs w:val="21"/>
              </w:rPr>
              <w:t>自动检测漏气补偿功能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；</w:t>
            </w:r>
          </w:p>
          <w:p w:rsidR="004259DE" w:rsidRPr="005076E8" w:rsidRDefault="004259DE" w:rsidP="00A44CEF">
            <w:pPr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12、</w:t>
            </w: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通过国家级医疗检测机构EMC检测，通过ISO13485质量体系认证；</w:t>
            </w:r>
          </w:p>
          <w:p w:rsidR="004259DE" w:rsidRPr="00580E17" w:rsidRDefault="004259DE" w:rsidP="00A44CEF">
            <w:pPr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076E8">
              <w:rPr>
                <w:rFonts w:ascii="宋体" w:hAnsi="宋体" w:cs="宋体" w:hint="eastAsia"/>
                <w:kern w:val="0"/>
                <w:sz w:val="24"/>
                <w:szCs w:val="21"/>
              </w:rPr>
              <w:t>13、有效性、安全性通过临床实验报告（需提供文件证明）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</w:p>
        </w:tc>
      </w:tr>
    </w:tbl>
    <w:p w:rsidR="00183390" w:rsidRPr="004259DE" w:rsidRDefault="00183390" w:rsidP="004259DE">
      <w:pPr>
        <w:spacing w:line="360" w:lineRule="auto"/>
        <w:rPr>
          <w:rFonts w:ascii="仿宋_GB2312" w:eastAsia="仿宋_GB2312" w:hAnsiTheme="majorEastAsia"/>
          <w:b/>
          <w:bCs/>
          <w:color w:val="000000"/>
          <w:szCs w:val="21"/>
        </w:rPr>
      </w:pPr>
    </w:p>
    <w:sectPr w:rsidR="00183390" w:rsidRPr="004259DE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29" w:rsidRDefault="003D1F29" w:rsidP="007767ED">
      <w:r>
        <w:separator/>
      </w:r>
    </w:p>
  </w:endnote>
  <w:endnote w:type="continuationSeparator" w:id="0">
    <w:p w:rsidR="003D1F29" w:rsidRDefault="003D1F29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E52D6B">
        <w:pPr>
          <w:pStyle w:val="a4"/>
          <w:jc w:val="center"/>
        </w:pPr>
        <w:fldSimple w:instr="PAGE   \* MERGEFORMAT">
          <w:r w:rsidR="00B00CF7" w:rsidRPr="00B00CF7">
            <w:rPr>
              <w:noProof/>
              <w:lang w:val="zh-CN"/>
            </w:rPr>
            <w:t>1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29" w:rsidRDefault="003D1F29" w:rsidP="007767ED">
      <w:r>
        <w:separator/>
      </w:r>
    </w:p>
  </w:footnote>
  <w:footnote w:type="continuationSeparator" w:id="0">
    <w:p w:rsidR="003D1F29" w:rsidRDefault="003D1F29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1F29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259DE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6506"/>
    <w:rsid w:val="00AD7AFD"/>
    <w:rsid w:val="00AE5F66"/>
    <w:rsid w:val="00AF35A8"/>
    <w:rsid w:val="00B00CF7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7A14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2D6B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69C7-0E8C-4323-8D26-5F836D8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16</Pages>
  <Words>807</Words>
  <Characters>4605</Characters>
  <Application>Microsoft Office Word</Application>
  <DocSecurity>0</DocSecurity>
  <Lines>38</Lines>
  <Paragraphs>10</Paragraphs>
  <ScaleCrop>false</ScaleCrop>
  <Company>泰兴市中医院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279</cp:revision>
  <cp:lastPrinted>2019-09-03T10:12:00Z</cp:lastPrinted>
  <dcterms:created xsi:type="dcterms:W3CDTF">2016-12-15T02:40:00Z</dcterms:created>
  <dcterms:modified xsi:type="dcterms:W3CDTF">2020-05-16T01:00:00Z</dcterms:modified>
</cp:coreProperties>
</file>