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A8718D">
        <w:rPr>
          <w:rFonts w:eastAsia="仿宋_GB2312" w:hint="eastAsia"/>
          <w:sz w:val="32"/>
        </w:rPr>
        <w:t>3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A8718D" w:rsidRPr="00A8718D">
        <w:rPr>
          <w:rFonts w:ascii="仿宋_GB2312" w:eastAsia="仿宋_GB2312" w:hint="eastAsia"/>
          <w:kern w:val="0"/>
          <w:sz w:val="36"/>
          <w:szCs w:val="36"/>
          <w:u w:val="single"/>
        </w:rPr>
        <w:t>电测听及声导抗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A8718D">
        <w:rPr>
          <w:rFonts w:ascii="仿宋_GB2312" w:eastAsia="仿宋_GB2312" w:hint="eastAsia"/>
          <w:kern w:val="0"/>
          <w:sz w:val="36"/>
          <w:szCs w:val="36"/>
          <w:u w:val="single"/>
        </w:rPr>
        <w:t>七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8718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A8718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15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FE4DEE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A8718D" w:rsidRPr="00A8718D">
        <w:rPr>
          <w:rFonts w:ascii="仿宋_GB2312" w:eastAsia="仿宋_GB2312" w:hint="eastAsia"/>
          <w:color w:val="333333"/>
          <w:kern w:val="0"/>
          <w:sz w:val="32"/>
          <w:szCs w:val="32"/>
        </w:rPr>
        <w:t>电测听及声导抗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4462B9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8718D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4462B9">
        <w:rPr>
          <w:rFonts w:ascii="仿宋_GB2312" w:eastAsia="仿宋_GB2312" w:hint="eastAsia"/>
          <w:sz w:val="32"/>
          <w:szCs w:val="32"/>
        </w:rPr>
        <w:t>15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A8718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A8718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单位：泰兴市卫健委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A8718D">
        <w:rPr>
          <w:rFonts w:ascii="仿宋_GB2312" w:eastAsia="仿宋_GB2312" w:hint="eastAsia"/>
          <w:sz w:val="32"/>
        </w:rPr>
        <w:t>3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A8718D">
        <w:rPr>
          <w:rFonts w:ascii="仿宋_GB2312" w:eastAsia="仿宋_GB2312" w:hint="eastAsia"/>
          <w:sz w:val="32"/>
        </w:rPr>
        <w:t>3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83215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质保三年承诺。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Pr="00C46470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5"/>
        <w:gridCol w:w="3675"/>
        <w:gridCol w:w="1838"/>
        <w:gridCol w:w="1838"/>
      </w:tblGrid>
      <w:tr w:rsidR="00A755F6" w:rsidRPr="00816CCF" w:rsidTr="00315782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A755F6" w:rsidRPr="00F42B5B" w:rsidRDefault="00A755F6" w:rsidP="00315782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设备名称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A755F6" w:rsidRPr="00F42B5B" w:rsidRDefault="00A755F6" w:rsidP="00315782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听力计、声阻抗测试仪</w:t>
            </w:r>
          </w:p>
        </w:tc>
      </w:tr>
      <w:tr w:rsidR="003B5BEF" w:rsidRPr="00816CCF" w:rsidTr="003B5BEF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3B5BEF" w:rsidRPr="00F42B5B" w:rsidRDefault="003B5BEF" w:rsidP="00315782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采购数量</w:t>
            </w:r>
          </w:p>
        </w:tc>
        <w:tc>
          <w:tcPr>
            <w:tcW w:w="2054" w:type="pct"/>
            <w:shd w:val="clear" w:color="auto" w:fill="auto"/>
          </w:tcPr>
          <w:p w:rsidR="003B5BEF" w:rsidRPr="00F42B5B" w:rsidRDefault="003B5BEF" w:rsidP="00315782">
            <w:pPr>
              <w:pStyle w:val="a8"/>
              <w:spacing w:line="460" w:lineRule="exact"/>
              <w:ind w:firstLineChars="0" w:firstLine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1027" w:type="pct"/>
            <w:shd w:val="clear" w:color="auto" w:fill="auto"/>
          </w:tcPr>
          <w:p w:rsidR="003B5BEF" w:rsidRPr="00F42B5B" w:rsidRDefault="003B5BEF" w:rsidP="003B5BEF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预算控制价</w:t>
            </w:r>
          </w:p>
        </w:tc>
        <w:tc>
          <w:tcPr>
            <w:tcW w:w="1027" w:type="pct"/>
            <w:shd w:val="clear" w:color="auto" w:fill="auto"/>
          </w:tcPr>
          <w:p w:rsidR="003B5BEF" w:rsidRPr="00F42B5B" w:rsidRDefault="003B5BEF" w:rsidP="00315782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A755F6" w:rsidRPr="00816CCF" w:rsidTr="00315782">
        <w:trPr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A755F6" w:rsidRPr="00F42B5B" w:rsidRDefault="00A755F6" w:rsidP="00315782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设备用途</w:t>
            </w:r>
          </w:p>
        </w:tc>
        <w:tc>
          <w:tcPr>
            <w:tcW w:w="4108" w:type="pct"/>
            <w:gridSpan w:val="3"/>
            <w:shd w:val="clear" w:color="auto" w:fill="auto"/>
          </w:tcPr>
          <w:p w:rsidR="00A755F6" w:rsidRPr="00F42B5B" w:rsidRDefault="00A755F6" w:rsidP="00315782">
            <w:pPr>
              <w:pStyle w:val="a8"/>
              <w:spacing w:line="460" w:lineRule="exact"/>
              <w:ind w:firstLineChars="0" w:firstLine="0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适用</w:t>
            </w:r>
            <w:r>
              <w:rPr>
                <w:rFonts w:ascii="Arial" w:hAnsi="Arial" w:cs="Arial" w:hint="eastAsia"/>
                <w:color w:val="333333"/>
                <w:sz w:val="28"/>
                <w:szCs w:val="28"/>
              </w:rPr>
              <w:t>五官科</w:t>
            </w:r>
          </w:p>
        </w:tc>
      </w:tr>
      <w:tr w:rsidR="00A755F6" w:rsidRPr="00816CCF" w:rsidTr="00315782">
        <w:trPr>
          <w:trHeight w:val="1137"/>
          <w:jc w:val="center"/>
        </w:trPr>
        <w:tc>
          <w:tcPr>
            <w:tcW w:w="892" w:type="pct"/>
            <w:shd w:val="clear" w:color="auto" w:fill="auto"/>
            <w:vAlign w:val="center"/>
          </w:tcPr>
          <w:p w:rsidR="00A755F6" w:rsidRPr="00AC60B7" w:rsidRDefault="00A755F6" w:rsidP="00315782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Cs w:val="21"/>
              </w:rPr>
            </w:pPr>
            <w:r w:rsidRPr="00AC60B7">
              <w:rPr>
                <w:rFonts w:ascii="Arial" w:hAnsi="Arial" w:cs="Arial" w:hint="eastAsia"/>
                <w:color w:val="333333"/>
                <w:szCs w:val="21"/>
              </w:rPr>
              <w:t>设备主要</w:t>
            </w:r>
            <w:r w:rsidRPr="00AC60B7">
              <w:rPr>
                <w:rFonts w:ascii="Arial" w:hAnsi="Arial" w:cs="Arial"/>
                <w:color w:val="333333"/>
                <w:szCs w:val="21"/>
              </w:rPr>
              <w:t>构成</w:t>
            </w:r>
          </w:p>
        </w:tc>
        <w:tc>
          <w:tcPr>
            <w:tcW w:w="4108" w:type="pct"/>
            <w:gridSpan w:val="3"/>
            <w:shd w:val="clear" w:color="auto" w:fill="auto"/>
            <w:vAlign w:val="center"/>
          </w:tcPr>
          <w:p w:rsidR="00A755F6" w:rsidRPr="0082706A" w:rsidRDefault="00A755F6" w:rsidP="00315782">
            <w:pPr>
              <w:pStyle w:val="a8"/>
              <w:spacing w:line="460" w:lineRule="exact"/>
              <w:ind w:firstLineChars="0" w:firstLine="0"/>
              <w:jc w:val="left"/>
              <w:rPr>
                <w:rFonts w:ascii="Arial" w:hAnsi="Arial" w:cs="Arial"/>
                <w:color w:val="333333"/>
                <w:sz w:val="28"/>
                <w:szCs w:val="28"/>
              </w:rPr>
            </w:pPr>
            <w:r w:rsidRPr="00AC60B7">
              <w:rPr>
                <w:rFonts w:ascii="Arial" w:hAnsi="Arial" w:cs="Arial" w:hint="eastAsia"/>
                <w:color w:val="333333"/>
                <w:szCs w:val="21"/>
              </w:rPr>
              <w:t>主要由功能主机、</w:t>
            </w:r>
            <w:r w:rsidRPr="00AC60B7">
              <w:rPr>
                <w:rFonts w:ascii="Arial" w:hAnsi="Arial" w:cs="Arial"/>
                <w:color w:val="333333"/>
                <w:szCs w:val="21"/>
              </w:rPr>
              <w:t>配套电脑、软件</w:t>
            </w:r>
            <w:r w:rsidRPr="00AC60B7">
              <w:rPr>
                <w:rFonts w:ascii="Arial" w:hAnsi="Arial" w:cs="Arial" w:hint="eastAsia"/>
                <w:color w:val="333333"/>
                <w:szCs w:val="21"/>
              </w:rPr>
              <w:t>等组成。</w:t>
            </w:r>
          </w:p>
        </w:tc>
      </w:tr>
      <w:tr w:rsidR="00A755F6" w:rsidTr="00315782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5F6" w:rsidRPr="00F42B5B" w:rsidRDefault="00A755F6" w:rsidP="00315782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 w:rsidRPr="00F42B5B">
              <w:rPr>
                <w:rFonts w:ascii="Arial" w:hAnsi="Arial" w:cs="Arial" w:hint="eastAsia"/>
                <w:color w:val="333333"/>
                <w:sz w:val="28"/>
                <w:szCs w:val="28"/>
              </w:rPr>
              <w:t>采购所需技术参数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一、</w:t>
            </w:r>
            <w:r w:rsidRPr="00AC60B7">
              <w:rPr>
                <w:rFonts w:hint="eastAsia"/>
                <w:color w:val="333333"/>
                <w:sz w:val="21"/>
                <w:szCs w:val="21"/>
              </w:rPr>
              <w:t>听力计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技术参数：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1、听力计测试功能</w:t>
            </w:r>
            <w:r>
              <w:rPr>
                <w:rFonts w:hint="eastAsia"/>
                <w:color w:val="333333"/>
                <w:sz w:val="21"/>
                <w:szCs w:val="21"/>
              </w:rPr>
              <w:t>要求具备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1.1、气导、骨导纯音听阈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1.2、言语测听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1.3、声场测听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1.4、高频测听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1.5、特殊测试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2、频率输出范围：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2.1、插入式气导耳机：125Hz～8000Hz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2.2、TDH气导耳机：125Hz～12500Hz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2.3、HDA高频耳机：125Hz～20000Hz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3、频率输出精度：±0.5%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4、频率最大解析度：1Hz（1/2、1/6、1/12、1/24、1/48倍频程）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5、声强输出范围：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5.1、TDH气导耳机：－10～120dB HL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5.2、骨导耳机：－10～80dB HL（置于乳突）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6、声强最小步进：1dB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7、最大谐波失真：气导≤2.5%、骨导≤5%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8、刺激模式：同侧刺激、对侧刺激、双耳刺激、带助听器刺激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9、</w:t>
            </w:r>
            <w:proofErr w:type="gramStart"/>
            <w:r w:rsidRPr="0082706A">
              <w:rPr>
                <w:rFonts w:hint="eastAsia"/>
                <w:color w:val="333333"/>
                <w:sz w:val="21"/>
                <w:szCs w:val="21"/>
              </w:rPr>
              <w:t>刺激声</w:t>
            </w:r>
            <w:proofErr w:type="gramEnd"/>
            <w:r w:rsidRPr="0082706A">
              <w:rPr>
                <w:rFonts w:hint="eastAsia"/>
                <w:color w:val="333333"/>
                <w:sz w:val="21"/>
                <w:szCs w:val="21"/>
              </w:rPr>
              <w:t>类型：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9.1、纯音：连续、脉冲纯音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9.2、</w:t>
            </w:r>
            <w:proofErr w:type="gramStart"/>
            <w:r w:rsidRPr="0082706A">
              <w:rPr>
                <w:rFonts w:hint="eastAsia"/>
                <w:color w:val="333333"/>
                <w:sz w:val="21"/>
                <w:szCs w:val="21"/>
              </w:rPr>
              <w:t>啭</w:t>
            </w:r>
            <w:proofErr w:type="gramEnd"/>
            <w:r w:rsidRPr="0082706A">
              <w:rPr>
                <w:rFonts w:hint="eastAsia"/>
                <w:color w:val="333333"/>
                <w:sz w:val="21"/>
                <w:szCs w:val="21"/>
              </w:rPr>
              <w:t>音：连续、脉冲</w:t>
            </w:r>
            <w:proofErr w:type="gramStart"/>
            <w:r w:rsidRPr="0082706A">
              <w:rPr>
                <w:rFonts w:hint="eastAsia"/>
                <w:color w:val="333333"/>
                <w:sz w:val="21"/>
                <w:szCs w:val="21"/>
              </w:rPr>
              <w:t>啭</w:t>
            </w:r>
            <w:proofErr w:type="gramEnd"/>
            <w:r w:rsidRPr="0082706A">
              <w:rPr>
                <w:rFonts w:hint="eastAsia"/>
                <w:color w:val="333333"/>
                <w:sz w:val="21"/>
                <w:szCs w:val="21"/>
              </w:rPr>
              <w:t>音，调制率1～20Hz（调制深度1%～25%）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9.3、频率特异性听觉评估FRESHTM噪声：频率范围125～12500Hz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10、</w:t>
            </w:r>
            <w:proofErr w:type="gramStart"/>
            <w:r w:rsidRPr="0082706A">
              <w:rPr>
                <w:rFonts w:hint="eastAsia"/>
                <w:color w:val="333333"/>
                <w:sz w:val="21"/>
                <w:szCs w:val="21"/>
              </w:rPr>
              <w:t>掩蔽声</w:t>
            </w:r>
            <w:proofErr w:type="gramEnd"/>
            <w:r w:rsidRPr="0082706A">
              <w:rPr>
                <w:rFonts w:hint="eastAsia"/>
                <w:color w:val="333333"/>
                <w:sz w:val="21"/>
                <w:szCs w:val="21"/>
              </w:rPr>
              <w:t>类型：白噪声WN、窄带噪声NBN、言语噪声SN、外接掩蔽噪声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11、掩蔽提醒功能：自动提示是否需要添加掩蔽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12、言语测听：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12.1、测试材料：内置</w:t>
            </w:r>
            <w:r>
              <w:rPr>
                <w:rFonts w:hint="eastAsia"/>
                <w:color w:val="333333"/>
                <w:sz w:val="21"/>
                <w:szCs w:val="21"/>
              </w:rPr>
              <w:t>普通话言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测试材料（三套言语测听材料，单音节，多音节，短句）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12.2、评分功能：系统进行自动评分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13、声场测听：内置5通道声场功放，可直接接驳5通道扬声器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14、特殊测试：ABLB、SISI、</w:t>
            </w:r>
            <w:proofErr w:type="spellStart"/>
            <w:r w:rsidRPr="0082706A">
              <w:rPr>
                <w:rFonts w:hint="eastAsia"/>
                <w:color w:val="333333"/>
                <w:sz w:val="21"/>
                <w:szCs w:val="21"/>
              </w:rPr>
              <w:t>Stenger</w:t>
            </w:r>
            <w:proofErr w:type="spellEnd"/>
            <w:r w:rsidRPr="0082706A">
              <w:rPr>
                <w:rFonts w:hint="eastAsia"/>
                <w:color w:val="333333"/>
                <w:sz w:val="21"/>
                <w:szCs w:val="21"/>
              </w:rPr>
              <w:t>、MLD、Weber、</w:t>
            </w:r>
            <w:proofErr w:type="spellStart"/>
            <w:r w:rsidRPr="0082706A">
              <w:rPr>
                <w:rFonts w:hint="eastAsia"/>
                <w:color w:val="333333"/>
                <w:sz w:val="21"/>
                <w:szCs w:val="21"/>
              </w:rPr>
              <w:t>Rinne</w:t>
            </w:r>
            <w:proofErr w:type="spellEnd"/>
            <w:r w:rsidRPr="0082706A">
              <w:rPr>
                <w:rFonts w:hint="eastAsia"/>
                <w:color w:val="333333"/>
                <w:sz w:val="21"/>
                <w:szCs w:val="21"/>
              </w:rPr>
              <w:t>、Béké</w:t>
            </w:r>
            <w:proofErr w:type="spellStart"/>
            <w:r w:rsidRPr="0082706A">
              <w:rPr>
                <w:rFonts w:hint="eastAsia"/>
                <w:color w:val="333333"/>
                <w:sz w:val="21"/>
                <w:szCs w:val="21"/>
              </w:rPr>
              <w:t>sy</w:t>
            </w:r>
            <w:proofErr w:type="spellEnd"/>
            <w:r w:rsidRPr="0082706A">
              <w:rPr>
                <w:rFonts w:hint="eastAsia"/>
                <w:color w:val="333333"/>
                <w:sz w:val="21"/>
                <w:szCs w:val="21"/>
              </w:rPr>
              <w:t>、Tone Decay等测试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15、通话及监听：三向通话功能：可进行医生、助理和患者三向通话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color w:val="333333"/>
                <w:sz w:val="21"/>
                <w:szCs w:val="21"/>
              </w:rPr>
              <w:t>6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、测试报告：报告界面：可编辑的中文测试报告</w:t>
            </w:r>
          </w:p>
          <w:p w:rsidR="00A755F6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17</w:t>
            </w:r>
            <w:r>
              <w:rPr>
                <w:rFonts w:hint="eastAsia"/>
                <w:color w:val="333333"/>
                <w:sz w:val="21"/>
                <w:szCs w:val="21"/>
              </w:rPr>
              <w:t>、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 xml:space="preserve"> 报告格式：可保存为PDF格式或XML格式电子报告，支持HIS传输</w:t>
            </w:r>
          </w:p>
          <w:p w:rsidR="00A755F6" w:rsidRPr="0082706A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二、</w:t>
            </w:r>
            <w:r w:rsidRPr="00AC60B7">
              <w:rPr>
                <w:rFonts w:hint="eastAsia"/>
                <w:color w:val="333333"/>
                <w:sz w:val="21"/>
                <w:szCs w:val="21"/>
              </w:rPr>
              <w:t>听力计具体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配置</w:t>
            </w:r>
            <w:r>
              <w:rPr>
                <w:rFonts w:hint="eastAsia"/>
                <w:color w:val="333333"/>
                <w:sz w:val="21"/>
                <w:szCs w:val="21"/>
              </w:rPr>
              <w:t>要求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：</w:t>
            </w:r>
          </w:p>
          <w:p w:rsidR="00A755F6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1、听力计主机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 xml:space="preserve"> 2、TDH气导耳机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 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 xml:space="preserve"> 3、骨导耳机         </w:t>
            </w:r>
          </w:p>
          <w:p w:rsidR="00A755F6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  <w:r w:rsidRPr="0082706A">
              <w:rPr>
                <w:rFonts w:hint="eastAsia"/>
                <w:color w:val="333333"/>
                <w:sz w:val="21"/>
                <w:szCs w:val="21"/>
              </w:rPr>
              <w:t>4、病人应答器：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5、通话麦克风：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 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6、中文用户手册           7、联机电缆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       8、</w:t>
            </w:r>
            <w:r>
              <w:rPr>
                <w:color w:val="333333"/>
                <w:sz w:val="21"/>
                <w:szCs w:val="21"/>
              </w:rPr>
              <w:t>品牌电脑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、打印机  </w:t>
            </w:r>
            <w:r>
              <w:rPr>
                <w:color w:val="333333"/>
                <w:sz w:val="21"/>
                <w:szCs w:val="21"/>
              </w:rPr>
              <w:t>9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 xml:space="preserve">、中文联机软件光盘        </w:t>
            </w:r>
            <w:r>
              <w:rPr>
                <w:color w:val="333333"/>
                <w:sz w:val="21"/>
                <w:szCs w:val="21"/>
              </w:rPr>
              <w:t>10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>、言语测听材料光盘：</w:t>
            </w:r>
            <w:r>
              <w:rPr>
                <w:rFonts w:hint="eastAsia"/>
                <w:color w:val="333333"/>
                <w:sz w:val="21"/>
                <w:szCs w:val="21"/>
              </w:rPr>
              <w:t xml:space="preserve">      </w:t>
            </w:r>
            <w:r w:rsidRPr="0082706A">
              <w:rPr>
                <w:rFonts w:hint="eastAsia"/>
                <w:color w:val="333333"/>
                <w:sz w:val="21"/>
                <w:szCs w:val="21"/>
              </w:rPr>
              <w:t xml:space="preserve"> </w:t>
            </w:r>
          </w:p>
          <w:p w:rsidR="00A755F6" w:rsidRDefault="00A755F6" w:rsidP="00315782">
            <w:pPr>
              <w:spacing w:line="400" w:lineRule="exact"/>
              <w:ind w:right="120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、</w:t>
            </w:r>
            <w:r w:rsidRPr="00AC60B7">
              <w:rPr>
                <w:rFonts w:ascii="宋体" w:hAnsi="宋体" w:cs="宋体" w:hint="eastAsia"/>
                <w:color w:val="333333"/>
                <w:kern w:val="0"/>
                <w:szCs w:val="21"/>
              </w:rPr>
              <w:t>声阻抗</w:t>
            </w:r>
            <w:r w:rsidRPr="00AC60B7">
              <w:rPr>
                <w:rFonts w:hAnsi="宋体"/>
                <w:color w:val="000000"/>
                <w:kern w:val="0"/>
                <w:szCs w:val="21"/>
              </w:rPr>
              <w:t>技术参数：</w:t>
            </w:r>
          </w:p>
          <w:p w:rsidR="00A755F6" w:rsidRDefault="00A755F6" w:rsidP="00315782">
            <w:pPr>
              <w:spacing w:line="40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Arial"/>
                <w:kern w:val="0"/>
                <w:szCs w:val="21"/>
              </w:rPr>
              <w:t>、可测试功能：</w:t>
            </w:r>
          </w:p>
          <w:p w:rsidR="00A755F6" w:rsidRDefault="00A755F6" w:rsidP="00315782">
            <w:pPr>
              <w:pStyle w:val="Default"/>
              <w:spacing w:line="400" w:lineRule="exact"/>
              <w:ind w:leftChars="150" w:left="315" w:firstLineChars="50" w:firstLine="105"/>
              <w:rPr>
                <w:rFonts w:ascii="Times New Roman" w:hAnsi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1.1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proofErr w:type="gramStart"/>
            <w:r>
              <w:rPr>
                <w:rFonts w:ascii="Times New Roman" w:hAnsi="宋体" w:cs="Times New Roman"/>
                <w:sz w:val="21"/>
                <w:szCs w:val="21"/>
              </w:rPr>
              <w:t>鼓室图</w:t>
            </w:r>
            <w:proofErr w:type="gramEnd"/>
            <w:r>
              <w:rPr>
                <w:rFonts w:ascii="Times New Roman" w:hAnsi="宋体" w:cs="Times New Roman"/>
                <w:sz w:val="21"/>
                <w:szCs w:val="21"/>
              </w:rPr>
              <w:t>测试</w:t>
            </w:r>
          </w:p>
          <w:p w:rsidR="00A755F6" w:rsidRDefault="00A755F6" w:rsidP="00315782">
            <w:pPr>
              <w:pStyle w:val="Default"/>
              <w:spacing w:line="400" w:lineRule="exact"/>
              <w:ind w:leftChars="150" w:left="315" w:firstLineChars="50" w:firstLine="105"/>
              <w:rPr>
                <w:rFonts w:ascii="Times New Roman" w:hAnsi="宋体" w:cs="Times New Roman"/>
                <w:sz w:val="21"/>
                <w:szCs w:val="21"/>
              </w:rPr>
            </w:pPr>
            <w:r>
              <w:rPr>
                <w:rFonts w:ascii="Times New Roman" w:hAnsi="宋体" w:cs="Times New Roman" w:hint="eastAsia"/>
                <w:sz w:val="21"/>
                <w:szCs w:val="21"/>
              </w:rPr>
              <w:t>1.2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宋体" w:cs="Times New Roman"/>
                <w:sz w:val="21"/>
                <w:szCs w:val="21"/>
              </w:rPr>
              <w:t>声反射筛查</w:t>
            </w:r>
          </w:p>
          <w:p w:rsidR="00A755F6" w:rsidRDefault="00A755F6" w:rsidP="00315782">
            <w:pPr>
              <w:pStyle w:val="Default"/>
              <w:spacing w:line="400" w:lineRule="exact"/>
              <w:ind w:firstLineChars="200" w:firstLine="420"/>
              <w:rPr>
                <w:rFonts w:ascii="Times New Roman" w:hAnsi="宋体" w:cs="Times New Roman"/>
                <w:sz w:val="21"/>
                <w:szCs w:val="21"/>
              </w:rPr>
            </w:pPr>
            <w:r>
              <w:rPr>
                <w:rFonts w:ascii="Times New Roman" w:hAnsi="宋体" w:cs="Times New Roman" w:hint="eastAsia"/>
                <w:sz w:val="21"/>
                <w:szCs w:val="21"/>
              </w:rPr>
              <w:t>1.3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宋体" w:cs="Times New Roman"/>
                <w:sz w:val="21"/>
                <w:szCs w:val="21"/>
              </w:rPr>
              <w:t>完好鼓膜咽鼓管功能测试</w:t>
            </w:r>
          </w:p>
          <w:p w:rsidR="00A755F6" w:rsidRDefault="00A755F6" w:rsidP="00315782">
            <w:pPr>
              <w:pStyle w:val="Default"/>
              <w:spacing w:line="400" w:lineRule="exact"/>
              <w:ind w:firstLineChars="200" w:firstLine="420"/>
              <w:rPr>
                <w:rFonts w:ascii="Arial" w:hAnsi="Arial" w:cs="Arial"/>
                <w:szCs w:val="21"/>
              </w:rPr>
            </w:pPr>
            <w:r>
              <w:rPr>
                <w:rFonts w:ascii="Times New Roman" w:hAnsi="宋体" w:cs="Times New Roman" w:hint="eastAsia"/>
                <w:sz w:val="21"/>
                <w:szCs w:val="21"/>
              </w:rPr>
              <w:t>1.4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、声导、声纳、声导纳分量测试</w:t>
            </w:r>
          </w:p>
          <w:p w:rsidR="00A755F6" w:rsidRDefault="00A755F6" w:rsidP="00315782">
            <w:pPr>
              <w:pStyle w:val="Default"/>
              <w:spacing w:line="400" w:lineRule="exact"/>
              <w:ind w:firstLineChars="200" w:firstLine="420"/>
              <w:rPr>
                <w:rFonts w:ascii="Times New Roman" w:hAnsi="宋体" w:cs="Times New Roman"/>
                <w:sz w:val="21"/>
                <w:szCs w:val="21"/>
              </w:rPr>
            </w:pPr>
            <w:r>
              <w:rPr>
                <w:rFonts w:ascii="Times New Roman" w:hAnsi="宋体" w:cs="Times New Roman" w:hint="eastAsia"/>
                <w:sz w:val="21"/>
                <w:szCs w:val="21"/>
              </w:rPr>
              <w:t>1.5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、自动顺序测试功能：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T+RS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（</w:t>
            </w:r>
            <w:proofErr w:type="gramStart"/>
            <w:r>
              <w:rPr>
                <w:rFonts w:ascii="Times New Roman" w:hAnsi="宋体" w:cs="Times New Roman" w:hint="eastAsia"/>
                <w:sz w:val="21"/>
                <w:szCs w:val="21"/>
              </w:rPr>
              <w:t>鼓室图</w:t>
            </w:r>
            <w:proofErr w:type="gramEnd"/>
            <w:r>
              <w:rPr>
                <w:rFonts w:ascii="Times New Roman" w:hAnsi="宋体" w:cs="Times New Roman" w:hint="eastAsia"/>
                <w:sz w:val="21"/>
                <w:szCs w:val="21"/>
              </w:rPr>
              <w:t>+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声反射筛查）</w:t>
            </w:r>
          </w:p>
          <w:p w:rsidR="00A755F6" w:rsidRDefault="00A755F6" w:rsidP="00315782">
            <w:pPr>
              <w:pStyle w:val="Default"/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宋体" w:cs="Times New Roman"/>
                <w:sz w:val="21"/>
                <w:szCs w:val="21"/>
              </w:rPr>
              <w:t>、探测音系统：</w:t>
            </w:r>
          </w:p>
          <w:p w:rsidR="00A755F6" w:rsidRDefault="00A755F6" w:rsidP="00315782">
            <w:pPr>
              <w:widowControl/>
              <w:spacing w:line="400" w:lineRule="exact"/>
              <w:ind w:firstLineChars="200" w:firstLine="420"/>
              <w:jc w:val="left"/>
              <w:rPr>
                <w:kern w:val="0"/>
                <w:szCs w:val="21"/>
              </w:rPr>
            </w:pPr>
            <w:r>
              <w:rPr>
                <w:szCs w:val="21"/>
              </w:rPr>
              <w:t>2.1</w:t>
            </w:r>
            <w:r>
              <w:rPr>
                <w:rFonts w:hAnsi="宋体"/>
                <w:szCs w:val="21"/>
              </w:rPr>
              <w:t>、</w:t>
            </w:r>
            <w:r>
              <w:rPr>
                <w:rFonts w:hAnsi="宋体"/>
                <w:kern w:val="0"/>
                <w:szCs w:val="21"/>
              </w:rPr>
              <w:t>探测音频率：</w:t>
            </w:r>
            <w:r>
              <w:rPr>
                <w:kern w:val="0"/>
                <w:szCs w:val="21"/>
              </w:rPr>
              <w:t>226Hz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szCs w:val="21"/>
              </w:rPr>
              <w:t>1000Hz</w:t>
            </w:r>
          </w:p>
          <w:p w:rsidR="00A755F6" w:rsidRDefault="00A755F6" w:rsidP="00315782">
            <w:pPr>
              <w:pStyle w:val="Default"/>
              <w:spacing w:line="400" w:lineRule="exact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2</w:t>
            </w:r>
            <w:r>
              <w:rPr>
                <w:rFonts w:ascii="Times New Roman" w:hAnsi="宋体" w:cs="Times New Roman"/>
                <w:sz w:val="21"/>
                <w:szCs w:val="21"/>
              </w:rPr>
              <w:t>、最大谐波失真：</w:t>
            </w:r>
            <w:r>
              <w:rPr>
                <w:rFonts w:hAnsi="宋体" w:cs="Times New Roman"/>
                <w:sz w:val="21"/>
                <w:szCs w:val="21"/>
              </w:rPr>
              <w:t>≤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3%</w:t>
            </w:r>
          </w:p>
          <w:p w:rsidR="00A755F6" w:rsidRDefault="00A755F6" w:rsidP="00315782">
            <w:pPr>
              <w:pStyle w:val="Default"/>
              <w:spacing w:line="400" w:lineRule="exact"/>
              <w:ind w:firstLineChars="200" w:firstLine="42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3</w:t>
            </w:r>
            <w:r>
              <w:rPr>
                <w:rFonts w:ascii="Times New Roman" w:hAnsi="宋体" w:cs="Times New Roman"/>
                <w:sz w:val="21"/>
                <w:szCs w:val="21"/>
              </w:rPr>
              <w:t>、频率精度：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好于</w:t>
            </w:r>
            <w:r>
              <w:rPr>
                <w:rFonts w:hAnsi="宋体" w:cs="Times New Roman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宋体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宋体" w:cs="Times New Roman"/>
                <w:sz w:val="21"/>
                <w:szCs w:val="21"/>
              </w:rPr>
              <w:t>、声顺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测量</w:t>
            </w:r>
            <w:r>
              <w:rPr>
                <w:rFonts w:ascii="Times New Roman" w:hAnsi="宋体" w:cs="Times New Roman"/>
                <w:sz w:val="21"/>
                <w:szCs w:val="21"/>
              </w:rPr>
              <w:t>范围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0.1</w:t>
            </w:r>
            <w:r>
              <w:rPr>
                <w:rFonts w:ascii="Times New Roman" w:hAnsi="宋体" w:cs="Times New Roman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8.0ml</w:t>
            </w:r>
            <w:r>
              <w:rPr>
                <w:rFonts w:ascii="Times New Roman" w:hAnsi="宋体" w:cs="Times New Roman"/>
                <w:sz w:val="21"/>
                <w:szCs w:val="21"/>
              </w:rPr>
              <w:t>（</w:t>
            </w:r>
            <w:r>
              <w:rPr>
                <w:rFonts w:hAnsi="宋体" w:cs="Times New Roman"/>
                <w:sz w:val="21"/>
                <w:szCs w:val="21"/>
              </w:rPr>
              <w:t>±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5%</w:t>
            </w:r>
            <w:r>
              <w:rPr>
                <w:rFonts w:ascii="Times New Roman" w:hAnsi="宋体" w:cs="Times New Roman"/>
                <w:sz w:val="21"/>
                <w:szCs w:val="21"/>
              </w:rPr>
              <w:t>或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0.1ml</w:t>
            </w:r>
            <w:r>
              <w:rPr>
                <w:rFonts w:ascii="Times New Roman" w:hAnsi="宋体" w:cs="Times New Roman"/>
                <w:sz w:val="21"/>
                <w:szCs w:val="21"/>
              </w:rPr>
              <w:t>）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宋体" w:cs="Times New Roman" w:hint="eastAsia"/>
                <w:sz w:val="21"/>
                <w:szCs w:val="21"/>
              </w:rPr>
              <w:t>4</w:t>
            </w:r>
            <w:r>
              <w:rPr>
                <w:rFonts w:ascii="Times New Roman" w:hAnsi="宋体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信息传输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蓝牙无线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4mW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，最大传输距离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米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摆脱数据线束缚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耦合腔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内置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2cc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标准耦合腔用于日常校准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、无线充电技术，与充电底座间无触点，防止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时间长氧化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接触不良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、具备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鼓室图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自动分型，</w:t>
            </w:r>
            <w:proofErr w:type="gram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鼓室图</w:t>
            </w:r>
            <w:proofErr w:type="gram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测试后自动</w:t>
            </w:r>
            <w:proofErr w:type="spellStart"/>
            <w:r>
              <w:rPr>
                <w:rFonts w:ascii="Times New Roman" w:hAnsi="Times New Roman" w:cs="Times New Roman" w:hint="eastAsia"/>
                <w:sz w:val="21"/>
                <w:szCs w:val="21"/>
              </w:rPr>
              <w:t>Jerger</w:t>
            </w:r>
            <w:proofErr w:type="spellEnd"/>
            <w:r>
              <w:rPr>
                <w:rFonts w:ascii="Times New Roman" w:hAnsi="Times New Roman" w:cs="Times New Roman" w:hint="eastAsia"/>
                <w:sz w:val="21"/>
                <w:szCs w:val="21"/>
              </w:rPr>
              <w:t>分型，并可根据情况手动修改</w:t>
            </w:r>
          </w:p>
          <w:p w:rsidR="00A755F6" w:rsidRDefault="00A755F6" w:rsidP="00315782">
            <w:pPr>
              <w:pStyle w:val="Default"/>
              <w:spacing w:line="400" w:lineRule="exact"/>
              <w:ind w:leftChars="51" w:left="399" w:hangingChars="139" w:hanging="29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YGB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声导纳分量测试，分析影响中耳导纳各成分关系</w:t>
            </w:r>
          </w:p>
          <w:p w:rsidR="00A755F6" w:rsidRDefault="00A755F6" w:rsidP="00315782">
            <w:pPr>
              <w:widowControl/>
              <w:spacing w:line="400" w:lineRule="exact"/>
              <w:jc w:val="left"/>
              <w:rPr>
                <w:b/>
                <w:sz w:val="24"/>
              </w:rPr>
            </w:pPr>
            <w:r w:rsidRPr="00712179">
              <w:rPr>
                <w:rFonts w:hAnsi="Arial" w:hint="eastAsia"/>
                <w:sz w:val="24"/>
              </w:rPr>
              <w:t>四</w:t>
            </w:r>
            <w:r w:rsidRPr="00712179">
              <w:rPr>
                <w:rFonts w:hAnsi="Arial"/>
                <w:sz w:val="24"/>
              </w:rPr>
              <w:t>、</w:t>
            </w:r>
            <w:r w:rsidRPr="00AC60B7">
              <w:rPr>
                <w:rFonts w:hAnsi="宋体" w:hint="eastAsia"/>
                <w:color w:val="000000"/>
                <w:kern w:val="0"/>
                <w:szCs w:val="21"/>
              </w:rPr>
              <w:t>声阻抗具体</w:t>
            </w:r>
            <w:r w:rsidRPr="00AC60B7">
              <w:rPr>
                <w:rFonts w:hAnsi="宋体"/>
                <w:color w:val="000000"/>
                <w:kern w:val="0"/>
                <w:szCs w:val="21"/>
              </w:rPr>
              <w:t>配置</w:t>
            </w:r>
            <w:r w:rsidRPr="00AC60B7">
              <w:rPr>
                <w:rFonts w:hAnsi="宋体" w:hint="eastAsia"/>
                <w:color w:val="000000"/>
                <w:kern w:val="0"/>
                <w:szCs w:val="21"/>
              </w:rPr>
              <w:t>要求</w:t>
            </w:r>
            <w:r>
              <w:rPr>
                <w:rFonts w:hAnsi="Arial"/>
                <w:b/>
                <w:sz w:val="24"/>
              </w:rPr>
              <w:t>：</w:t>
            </w:r>
          </w:p>
          <w:p w:rsidR="00A755F6" w:rsidRDefault="00A755F6" w:rsidP="00315782">
            <w:pPr>
              <w:widowControl/>
              <w:tabs>
                <w:tab w:val="left" w:pos="426"/>
              </w:tabs>
              <w:spacing w:line="400" w:lineRule="exact"/>
              <w:ind w:firstLineChars="50" w:firstLine="105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Ansi="Arial"/>
                <w:kern w:val="0"/>
                <w:szCs w:val="21"/>
              </w:rPr>
              <w:t>、</w:t>
            </w:r>
            <w:r>
              <w:rPr>
                <w:rFonts w:hAnsi="Arial" w:hint="eastAsia"/>
                <w:kern w:val="0"/>
                <w:szCs w:val="21"/>
              </w:rPr>
              <w:t>中耳分析仪</w:t>
            </w:r>
            <w:r>
              <w:rPr>
                <w:rFonts w:hAnsi="Arial"/>
                <w:kern w:val="0"/>
                <w:szCs w:val="21"/>
              </w:rPr>
              <w:t>主机</w:t>
            </w:r>
            <w:r>
              <w:rPr>
                <w:kern w:val="0"/>
                <w:szCs w:val="21"/>
              </w:rPr>
              <w:t xml:space="preserve">         2</w:t>
            </w:r>
            <w:r>
              <w:rPr>
                <w:rFonts w:hAnsi="Arial"/>
                <w:kern w:val="0"/>
                <w:szCs w:val="21"/>
              </w:rPr>
              <w:t>、</w:t>
            </w:r>
            <w:r>
              <w:rPr>
                <w:rFonts w:hAnsi="Arial" w:hint="eastAsia"/>
                <w:kern w:val="0"/>
                <w:szCs w:val="21"/>
              </w:rPr>
              <w:t>探头</w:t>
            </w:r>
            <w:r>
              <w:rPr>
                <w:rFonts w:hint="eastAsia"/>
                <w:kern w:val="0"/>
                <w:szCs w:val="21"/>
              </w:rPr>
              <w:t xml:space="preserve">             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Ansi="Arial" w:hint="eastAsia"/>
                <w:kern w:val="0"/>
                <w:szCs w:val="21"/>
              </w:rPr>
              <w:t>3</w:t>
            </w:r>
            <w:r>
              <w:rPr>
                <w:rFonts w:hAnsi="Arial"/>
                <w:kern w:val="0"/>
                <w:szCs w:val="21"/>
              </w:rPr>
              <w:t>、</w:t>
            </w:r>
            <w:r>
              <w:rPr>
                <w:rFonts w:hAnsi="Arial" w:hint="eastAsia"/>
                <w:kern w:val="0"/>
                <w:szCs w:val="21"/>
              </w:rPr>
              <w:t>耳塞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      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Ansi="Arial" w:hint="eastAsia"/>
                <w:kern w:val="0"/>
                <w:szCs w:val="21"/>
              </w:rPr>
              <w:t>4</w:t>
            </w:r>
            <w:r>
              <w:rPr>
                <w:rFonts w:hAnsi="Arial"/>
                <w:kern w:val="0"/>
                <w:szCs w:val="21"/>
              </w:rPr>
              <w:t>、</w:t>
            </w:r>
            <w:proofErr w:type="gramStart"/>
            <w:r>
              <w:rPr>
                <w:rFonts w:hAnsi="Arial" w:hint="eastAsia"/>
                <w:kern w:val="0"/>
                <w:szCs w:val="21"/>
              </w:rPr>
              <w:t>蓝牙适配器</w:t>
            </w:r>
            <w:proofErr w:type="gramEnd"/>
            <w:r>
              <w:rPr>
                <w:kern w:val="0"/>
                <w:szCs w:val="21"/>
              </w:rPr>
              <w:t xml:space="preserve">          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Ansi="Arial" w:hint="eastAsia"/>
                <w:kern w:val="0"/>
                <w:szCs w:val="21"/>
              </w:rPr>
              <w:t>5</w:t>
            </w:r>
            <w:r>
              <w:rPr>
                <w:rFonts w:hAnsi="Arial" w:hint="eastAsia"/>
                <w:kern w:val="0"/>
                <w:szCs w:val="21"/>
              </w:rPr>
              <w:t>、充电电池</w:t>
            </w:r>
            <w:r>
              <w:rPr>
                <w:rFonts w:hAnsi="Arial" w:hint="eastAsia"/>
                <w:kern w:val="0"/>
                <w:szCs w:val="21"/>
              </w:rPr>
              <w:t xml:space="preserve">           6</w:t>
            </w:r>
            <w:r>
              <w:rPr>
                <w:rFonts w:hAnsi="Arial"/>
                <w:kern w:val="0"/>
                <w:szCs w:val="21"/>
              </w:rPr>
              <w:t>、</w:t>
            </w:r>
            <w:r>
              <w:rPr>
                <w:rFonts w:hAnsi="Arial" w:hint="eastAsia"/>
                <w:kern w:val="0"/>
                <w:szCs w:val="21"/>
              </w:rPr>
              <w:t>充电底座</w:t>
            </w:r>
            <w:r>
              <w:rPr>
                <w:kern w:val="0"/>
                <w:szCs w:val="21"/>
              </w:rPr>
              <w:t xml:space="preserve">            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Ansi="Arial" w:hint="eastAsia"/>
                <w:kern w:val="0"/>
                <w:szCs w:val="21"/>
              </w:rPr>
              <w:t>7</w:t>
            </w:r>
            <w:r>
              <w:rPr>
                <w:rFonts w:hAnsi="Arial" w:hint="eastAsia"/>
                <w:kern w:val="0"/>
                <w:szCs w:val="21"/>
              </w:rPr>
              <w:t>、便携箱</w:t>
            </w:r>
            <w:r>
              <w:rPr>
                <w:rFonts w:hAnsi="Arial" w:hint="eastAsia"/>
                <w:kern w:val="0"/>
                <w:szCs w:val="21"/>
              </w:rPr>
              <w:t xml:space="preserve">            8</w:t>
            </w:r>
            <w:r>
              <w:rPr>
                <w:rFonts w:hAnsi="Arial"/>
                <w:kern w:val="0"/>
                <w:szCs w:val="21"/>
              </w:rPr>
              <w:t>、中文用户手册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Ansi="Arial" w:hint="eastAsia"/>
                <w:kern w:val="0"/>
                <w:szCs w:val="21"/>
              </w:rPr>
              <w:t>9</w:t>
            </w:r>
            <w:r>
              <w:rPr>
                <w:rFonts w:hAnsi="Arial"/>
                <w:kern w:val="0"/>
                <w:szCs w:val="21"/>
              </w:rPr>
              <w:t>、中英文联机软件光盘</w:t>
            </w:r>
            <w:r>
              <w:rPr>
                <w:kern w:val="0"/>
                <w:szCs w:val="21"/>
              </w:rPr>
              <w:t xml:space="preserve">    </w:t>
            </w:r>
          </w:p>
          <w:p w:rsidR="00A755F6" w:rsidRPr="00AC60B7" w:rsidRDefault="00A755F6" w:rsidP="00315782">
            <w:pPr>
              <w:pStyle w:val="a9"/>
              <w:shd w:val="clear" w:color="auto" w:fill="FBFDFE"/>
              <w:spacing w:before="0" w:beforeAutospacing="0" w:after="0" w:afterAutospacing="0" w:line="300" w:lineRule="exact"/>
              <w:ind w:firstLine="420"/>
              <w:rPr>
                <w:color w:val="333333"/>
                <w:sz w:val="21"/>
                <w:szCs w:val="21"/>
              </w:rPr>
            </w:pPr>
          </w:p>
        </w:tc>
      </w:tr>
    </w:tbl>
    <w:p w:rsidR="00C46470" w:rsidRPr="00A755F6" w:rsidRDefault="00C46470" w:rsidP="00F3349D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E35B6D" w:rsidRPr="00560D14" w:rsidRDefault="00E35B6D" w:rsidP="00560D14">
      <w:pPr>
        <w:spacing w:line="360" w:lineRule="auto"/>
        <w:rPr>
          <w:rFonts w:asciiTheme="majorEastAsia" w:eastAsiaTheme="majorEastAsia" w:hAnsiTheme="majorEastAsia"/>
          <w:bCs/>
          <w:color w:val="000000"/>
          <w:szCs w:val="21"/>
        </w:rPr>
      </w:pPr>
    </w:p>
    <w:sectPr w:rsidR="00E35B6D" w:rsidRPr="00560D14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039" w:rsidRDefault="007C0039" w:rsidP="007767ED">
      <w:r>
        <w:separator/>
      </w:r>
    </w:p>
  </w:endnote>
  <w:endnote w:type="continuationSeparator" w:id="0">
    <w:p w:rsidR="007C0039" w:rsidRDefault="007C0039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CC773F">
        <w:pPr>
          <w:pStyle w:val="a4"/>
          <w:jc w:val="center"/>
        </w:pPr>
        <w:fldSimple w:instr="PAGE   \* MERGEFORMAT">
          <w:r w:rsidR="003B5BEF" w:rsidRPr="003B5BEF">
            <w:rPr>
              <w:noProof/>
              <w:lang w:val="zh-CN"/>
            </w:rPr>
            <w:t>15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039" w:rsidRDefault="007C0039" w:rsidP="007767ED">
      <w:r>
        <w:separator/>
      </w:r>
    </w:p>
  </w:footnote>
  <w:footnote w:type="continuationSeparator" w:id="0">
    <w:p w:rsidR="007C0039" w:rsidRDefault="007C0039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2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C8C"/>
    <w:rsid w:val="001876D7"/>
    <w:rsid w:val="00187A50"/>
    <w:rsid w:val="00187BA4"/>
    <w:rsid w:val="00190072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7C52"/>
    <w:rsid w:val="007B0104"/>
    <w:rsid w:val="007B6432"/>
    <w:rsid w:val="007C0039"/>
    <w:rsid w:val="007C37F9"/>
    <w:rsid w:val="007C734B"/>
    <w:rsid w:val="007D061A"/>
    <w:rsid w:val="007F616F"/>
    <w:rsid w:val="008006F8"/>
    <w:rsid w:val="00806674"/>
    <w:rsid w:val="00807548"/>
    <w:rsid w:val="00815DA6"/>
    <w:rsid w:val="00815F11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15F3"/>
    <w:rsid w:val="00BC78C4"/>
    <w:rsid w:val="00BD19E3"/>
    <w:rsid w:val="00BD2980"/>
    <w:rsid w:val="00BD5DB1"/>
    <w:rsid w:val="00BE2A80"/>
    <w:rsid w:val="00BE37CE"/>
    <w:rsid w:val="00BF1F2A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41794"/>
    <w:rsid w:val="00D41850"/>
    <w:rsid w:val="00D42092"/>
    <w:rsid w:val="00D461E5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A06C6"/>
    <w:rsid w:val="00DA4A50"/>
    <w:rsid w:val="00DA64C2"/>
    <w:rsid w:val="00DA6669"/>
    <w:rsid w:val="00DC1374"/>
    <w:rsid w:val="00DC1F06"/>
    <w:rsid w:val="00DE14AC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F341E-1E0A-4BEE-AC22-B328A3E82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17</Pages>
  <Words>968</Words>
  <Characters>5520</Characters>
  <Application>Microsoft Office Word</Application>
  <DocSecurity>0</DocSecurity>
  <Lines>46</Lines>
  <Paragraphs>12</Paragraphs>
  <ScaleCrop>false</ScaleCrop>
  <Company>泰兴市中医院</Company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262</cp:revision>
  <cp:lastPrinted>2019-09-03T10:12:00Z</cp:lastPrinted>
  <dcterms:created xsi:type="dcterms:W3CDTF">2016-12-15T02:40:00Z</dcterms:created>
  <dcterms:modified xsi:type="dcterms:W3CDTF">2020-01-11T01:20:00Z</dcterms:modified>
</cp:coreProperties>
</file>